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69"/>
        <w:gridCol w:w="4396"/>
      </w:tblGrid>
      <w:tr w:rsidR="0070684C" w14:paraId="5C3B3162" w14:textId="77777777" w:rsidTr="00F72013">
        <w:tc>
          <w:tcPr>
            <w:tcW w:w="4606" w:type="dxa"/>
          </w:tcPr>
          <w:p w14:paraId="5C3B315E" w14:textId="77777777" w:rsidR="0070684C" w:rsidRPr="0070684C" w:rsidRDefault="0070684C" w:rsidP="002A157F">
            <w:pPr>
              <w:widowControl/>
              <w:suppressAutoHyphens w:val="0"/>
              <w:spacing w:line="240" w:lineRule="auto"/>
              <w:jc w:val="right"/>
            </w:pPr>
            <w:bookmarkStart w:id="0" w:name="_GoBack"/>
            <w:bookmarkEnd w:id="0"/>
          </w:p>
        </w:tc>
        <w:tc>
          <w:tcPr>
            <w:tcW w:w="4465" w:type="dxa"/>
            <w:gridSpan w:val="2"/>
          </w:tcPr>
          <w:p w14:paraId="5C3B3161" w14:textId="13BEF6F3" w:rsidR="00F72013" w:rsidRPr="008145F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F72013" w:rsidRPr="00D16469" w14:paraId="5D69F33B" w14:textId="77777777" w:rsidTr="00F72013">
        <w:tc>
          <w:tcPr>
            <w:tcW w:w="4675" w:type="dxa"/>
            <w:gridSpan w:val="2"/>
          </w:tcPr>
          <w:p w14:paraId="50B61EC0" w14:textId="77777777" w:rsidR="00F72013" w:rsidRPr="00E576CA" w:rsidRDefault="00F72013" w:rsidP="00E15602">
            <w:pPr>
              <w:widowControl/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</w:tcPr>
          <w:p w14:paraId="75C68F07" w14:textId="72C225E9" w:rsidR="00F72013" w:rsidRPr="00D16469" w:rsidRDefault="002A157F" w:rsidP="00E15602">
            <w:pPr>
              <w:widowControl/>
              <w:suppressAutoHyphens w:val="0"/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D16469">
              <w:rPr>
                <w:bCs/>
                <w:sz w:val="22"/>
                <w:szCs w:val="22"/>
              </w:rPr>
              <w:t>LISA 2</w:t>
            </w:r>
          </w:p>
        </w:tc>
      </w:tr>
    </w:tbl>
    <w:p w14:paraId="44A509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A7049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 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38D72AC9" wp14:editId="31914533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2D1889C0" wp14:editId="21694486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207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637740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486A5774" w14:textId="6853ED6E" w:rsidR="00F72013" w:rsidRPr="00CB5CF9" w:rsidRDefault="00A93D72" w:rsidP="00A93D72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lang w:eastAsia="en-US" w:bidi="ar-SA"/>
        </w:rPr>
      </w:pPr>
      <w:r w:rsidRPr="00CB5CF9">
        <w:rPr>
          <w:rFonts w:eastAsia="Times New Roman"/>
          <w:b/>
          <w:bCs/>
          <w:kern w:val="0"/>
          <w:lang w:eastAsia="en-US" w:bidi="ar-SA"/>
        </w:rPr>
        <w:t>VARJUPAIGA-, RÄNDE- JA INTEGRATSIOONIFONDI</w:t>
      </w:r>
      <w:r w:rsidR="009D60F8">
        <w:rPr>
          <w:rFonts w:eastAsia="Times New Roman"/>
          <w:b/>
          <w:bCs/>
          <w:kern w:val="0"/>
          <w:lang w:eastAsia="en-US" w:bidi="ar-SA"/>
        </w:rPr>
        <w:t>,</w:t>
      </w:r>
      <w:r w:rsidR="005955FF">
        <w:rPr>
          <w:rFonts w:eastAsia="Times New Roman"/>
          <w:b/>
          <w:bCs/>
          <w:kern w:val="0"/>
          <w:lang w:eastAsia="en-US" w:bidi="ar-SA"/>
        </w:rPr>
        <w:t xml:space="preserve"> </w:t>
      </w:r>
      <w:r w:rsidR="005955FF" w:rsidRPr="00CB5CF9">
        <w:rPr>
          <w:rFonts w:eastAsia="Times New Roman"/>
          <w:b/>
          <w:bCs/>
          <w:kern w:val="0"/>
          <w:lang w:eastAsia="en-US" w:bidi="ar-SA"/>
        </w:rPr>
        <w:t>PIIRIHALDUSE JA VIISAPOLIITIKA RAHASTU</w:t>
      </w:r>
      <w:r w:rsidR="009D60F8" w:rsidRPr="009D60F8">
        <w:rPr>
          <w:rFonts w:eastAsia="Times New Roman"/>
          <w:b/>
          <w:bCs/>
          <w:kern w:val="0"/>
          <w:lang w:eastAsia="en-US" w:bidi="ar-SA"/>
        </w:rPr>
        <w:t xml:space="preserve"> </w:t>
      </w:r>
      <w:r w:rsidR="009D60F8">
        <w:rPr>
          <w:rFonts w:eastAsia="Times New Roman"/>
          <w:b/>
          <w:bCs/>
          <w:kern w:val="0"/>
          <w:lang w:eastAsia="en-US" w:bidi="ar-SA"/>
        </w:rPr>
        <w:t xml:space="preserve">NING </w:t>
      </w:r>
      <w:r w:rsidR="009D60F8" w:rsidRPr="00CB5CF9">
        <w:rPr>
          <w:rFonts w:eastAsia="Times New Roman"/>
          <w:b/>
          <w:bCs/>
          <w:kern w:val="0"/>
          <w:lang w:eastAsia="en-US" w:bidi="ar-SA"/>
        </w:rPr>
        <w:t xml:space="preserve">SISEJULGEOLEKUFONDI </w:t>
      </w:r>
    </w:p>
    <w:p w14:paraId="60AD666B" w14:textId="2ACEFA19" w:rsidR="00CB5CF9" w:rsidRDefault="00A93D72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color w:val="000000" w:themeColor="text1"/>
          <w:kern w:val="0"/>
          <w:lang w:eastAsia="en-US" w:bidi="ar-SA"/>
        </w:rPr>
      </w:pPr>
      <w:r w:rsidRPr="00CB5CF9">
        <w:rPr>
          <w:rFonts w:eastAsia="Times New Roman"/>
          <w:b/>
          <w:bCs/>
          <w:kern w:val="0"/>
          <w:lang w:eastAsia="en-US" w:bidi="ar-SA"/>
        </w:rPr>
        <w:t>ERI</w:t>
      </w:r>
      <w:r w:rsidR="0089634B" w:rsidRPr="00CB5CF9">
        <w:rPr>
          <w:rFonts w:eastAsia="Times New Roman"/>
          <w:b/>
          <w:bCs/>
          <w:kern w:val="0"/>
          <w:lang w:eastAsia="en-US" w:bidi="ar-SA"/>
        </w:rPr>
        <w:t>M</w:t>
      </w:r>
      <w:r w:rsidRPr="00CB5CF9">
        <w:rPr>
          <w:rFonts w:eastAsia="Times New Roman"/>
          <w:b/>
          <w:bCs/>
          <w:kern w:val="0"/>
          <w:lang w:eastAsia="en-US" w:bidi="ar-SA"/>
        </w:rPr>
        <w:t>EETME</w:t>
      </w:r>
      <w:r w:rsidR="00AC536F">
        <w:rPr>
          <w:rFonts w:eastAsia="Times New Roman"/>
          <w:b/>
          <w:bCs/>
          <w:kern w:val="0"/>
          <w:lang w:eastAsia="en-US" w:bidi="ar-SA"/>
        </w:rPr>
        <w:t xml:space="preserve"> JA</w:t>
      </w:r>
      <w:r w:rsidR="005D7CD9" w:rsidRPr="00CB5CF9">
        <w:rPr>
          <w:rFonts w:eastAsia="Times New Roman"/>
          <w:b/>
          <w:bCs/>
          <w:color w:val="000000" w:themeColor="text1"/>
          <w:kern w:val="0"/>
          <w:lang w:eastAsia="en-US" w:bidi="ar-SA"/>
        </w:rPr>
        <w:t xml:space="preserve"> ERAKORRALISE ABI </w:t>
      </w:r>
    </w:p>
    <w:p w14:paraId="32A9D82E" w14:textId="596DB45E" w:rsidR="00F72013" w:rsidRPr="00CB5CF9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color w:val="000000" w:themeColor="text1"/>
          <w:kern w:val="0"/>
          <w:lang w:eastAsia="en-US" w:bidi="ar-SA"/>
        </w:rPr>
      </w:pPr>
      <w:r w:rsidRPr="00CB5CF9">
        <w:rPr>
          <w:rFonts w:eastAsia="Times New Roman"/>
          <w:b/>
          <w:bCs/>
          <w:color w:val="000000" w:themeColor="text1"/>
          <w:kern w:val="0"/>
          <w:lang w:eastAsia="en-US" w:bidi="ar-SA"/>
        </w:rPr>
        <w:t xml:space="preserve">TOETUSE TAOTLEMISE </w:t>
      </w:r>
      <w:r w:rsidR="005D7CD9" w:rsidRPr="00CB5CF9">
        <w:rPr>
          <w:rFonts w:eastAsia="Times New Roman"/>
          <w:b/>
          <w:bCs/>
          <w:color w:val="000000" w:themeColor="text1"/>
          <w:kern w:val="0"/>
          <w:lang w:eastAsia="en-US" w:bidi="ar-SA"/>
        </w:rPr>
        <w:t>LISA</w:t>
      </w:r>
      <w:r w:rsidRPr="00CB5CF9">
        <w:rPr>
          <w:rFonts w:eastAsia="Times New Roman"/>
          <w:b/>
          <w:bCs/>
          <w:color w:val="000000" w:themeColor="text1"/>
          <w:kern w:val="0"/>
          <w:lang w:eastAsia="en-US" w:bidi="ar-SA"/>
        </w:rPr>
        <w:t>VORM</w:t>
      </w:r>
    </w:p>
    <w:p w14:paraId="6627C1D5" w14:textId="350CE684" w:rsidR="0070355B" w:rsidRPr="00A43B6D" w:rsidRDefault="0070355B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Cs/>
          <w:kern w:val="0"/>
          <w:sz w:val="20"/>
          <w:szCs w:val="20"/>
          <w:lang w:eastAsia="en-US" w:bidi="ar-SA"/>
        </w:rPr>
      </w:pPr>
      <w:r w:rsidRPr="00A43B6D">
        <w:rPr>
          <w:rFonts w:eastAsia="Times New Roman"/>
          <w:bCs/>
          <w:kern w:val="0"/>
          <w:sz w:val="20"/>
          <w:szCs w:val="20"/>
          <w:lang w:eastAsia="en-US" w:bidi="ar-SA"/>
        </w:rPr>
        <w:t xml:space="preserve">(vastavalt </w:t>
      </w:r>
      <w:hyperlink r:id="rId13" w:history="1">
        <w:r w:rsidR="00795741" w:rsidRPr="00CB5CF9">
          <w:rPr>
            <w:rStyle w:val="Hyperlink"/>
            <w:rFonts w:eastAsia="Times New Roman"/>
            <w:bCs/>
            <w:kern w:val="0"/>
            <w:sz w:val="20"/>
            <w:szCs w:val="20"/>
            <w:lang w:eastAsia="en-US" w:bidi="ar-SA"/>
          </w:rPr>
          <w:t xml:space="preserve">Euroopa Parlamendi ja nõukogu määruse </w:t>
        </w:r>
        <w:r w:rsidR="00A43B6D" w:rsidRPr="00CB5CF9">
          <w:rPr>
            <w:rStyle w:val="Hyperlink"/>
            <w:sz w:val="20"/>
            <w:szCs w:val="20"/>
          </w:rPr>
          <w:t>(EL) 2021/1060</w:t>
        </w:r>
      </w:hyperlink>
      <w:r w:rsidR="00A43B6D" w:rsidRPr="00A43B6D">
        <w:rPr>
          <w:color w:val="000000"/>
          <w:sz w:val="20"/>
          <w:szCs w:val="20"/>
        </w:rPr>
        <w:t xml:space="preserve">, millega kehtestatakse </w:t>
      </w:r>
      <w:proofErr w:type="spellStart"/>
      <w:r w:rsidR="00A43B6D" w:rsidRPr="00A43B6D">
        <w:rPr>
          <w:color w:val="000000"/>
          <w:sz w:val="20"/>
          <w:szCs w:val="20"/>
        </w:rPr>
        <w:t>ühissätted</w:t>
      </w:r>
      <w:proofErr w:type="spellEnd"/>
      <w:r w:rsidR="00A43B6D" w:rsidRPr="00A43B6D">
        <w:rPr>
          <w:color w:val="000000"/>
          <w:sz w:val="20"/>
          <w:szCs w:val="20"/>
        </w:rPr>
        <w:t xml:space="preserve"> Euroopa Regionaalarengu Fondi, Euroopa Sotsiaalfond+, Ühtekuuluvusfondi, Õiglase Ülemineku Fondi ja Euroopa Merendus-, Kalandus- ja Vesiviljelusfondi kohta ning nende ja Varjupaiga-, Rände- ja Integratsioonifondi, Sisejulgeolekufondi ning piirihalduse ja viisapoliitika rahastu suhtes kohaldatavad finantsreeglid</w:t>
      </w:r>
      <w:r w:rsidR="00A43B6D">
        <w:rPr>
          <w:color w:val="000000"/>
          <w:sz w:val="20"/>
          <w:szCs w:val="20"/>
        </w:rPr>
        <w:t xml:space="preserve">, </w:t>
      </w:r>
      <w:r w:rsidR="00A43B6D" w:rsidRPr="00CB5CF9">
        <w:rPr>
          <w:color w:val="000000"/>
          <w:sz w:val="20"/>
          <w:szCs w:val="20"/>
          <w:u w:val="single"/>
        </w:rPr>
        <w:t>artiklile 73</w:t>
      </w:r>
      <w:r w:rsidRPr="00A43B6D">
        <w:rPr>
          <w:rFonts w:eastAsia="Times New Roman"/>
          <w:bCs/>
          <w:kern w:val="0"/>
          <w:sz w:val="20"/>
          <w:szCs w:val="20"/>
          <w:lang w:eastAsia="en-US" w:bidi="ar-SA"/>
        </w:rPr>
        <w:t>)</w:t>
      </w:r>
    </w:p>
    <w:p w14:paraId="38A49F72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lang w:eastAsia="en-US" w:bidi="ar-SA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6259"/>
      </w:tblGrid>
      <w:tr w:rsidR="00F72013" w:rsidRPr="007862A0" w14:paraId="7CB4D3F0" w14:textId="77777777" w:rsidTr="00AA0D8E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1E859782" w14:textId="77777777" w:rsidR="00F72013" w:rsidRPr="007862A0" w:rsidRDefault="00F72013" w:rsidP="00E15602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Taotleja</w:t>
            </w:r>
          </w:p>
        </w:tc>
        <w:tc>
          <w:tcPr>
            <w:tcW w:w="6259" w:type="dxa"/>
          </w:tcPr>
          <w:p w14:paraId="06120775" w14:textId="77777777" w:rsidR="00F72013" w:rsidRPr="007862A0" w:rsidRDefault="00F72013" w:rsidP="00E15602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</w:p>
        </w:tc>
      </w:tr>
      <w:tr w:rsidR="00F72013" w:rsidRPr="007862A0" w14:paraId="79D1B357" w14:textId="77777777" w:rsidTr="00AA0D8E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033A67B" w14:textId="77777777" w:rsidR="00F72013" w:rsidRPr="007862A0" w:rsidRDefault="00F72013" w:rsidP="00E15602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Projekti pealkiri</w:t>
            </w:r>
          </w:p>
        </w:tc>
        <w:tc>
          <w:tcPr>
            <w:tcW w:w="6259" w:type="dxa"/>
          </w:tcPr>
          <w:p w14:paraId="1886A61C" w14:textId="39F4EAAA" w:rsidR="00F72013" w:rsidRPr="00F60FC8" w:rsidRDefault="00F72013" w:rsidP="00E15602">
            <w:pPr>
              <w:outlineLvl w:val="0"/>
              <w:rPr>
                <w:i/>
              </w:rPr>
            </w:pPr>
          </w:p>
          <w:p w14:paraId="009F4975" w14:textId="77777777" w:rsidR="00F72013" w:rsidRPr="007862A0" w:rsidRDefault="00F72013" w:rsidP="00E15602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Cs/>
                <w:kern w:val="0"/>
                <w:lang w:eastAsia="en-US" w:bidi="ar-SA"/>
              </w:rPr>
            </w:pPr>
          </w:p>
        </w:tc>
      </w:tr>
      <w:tr w:rsidR="00F72013" w:rsidRPr="007862A0" w14:paraId="130396E4" w14:textId="77777777" w:rsidTr="00AA0D8E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7CDA0664" w14:textId="41E3B7B4" w:rsidR="00F72013" w:rsidRPr="007862A0" w:rsidRDefault="00A93D72" w:rsidP="00E15602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eastAsia="Times New Roman"/>
                <w:b/>
                <w:bCs/>
                <w:kern w:val="0"/>
                <w:lang w:eastAsia="en-US" w:bidi="ar-SA"/>
              </w:rPr>
              <w:t>Erimeetme</w:t>
            </w:r>
            <w:r w:rsidR="00C34F5F">
              <w:rPr>
                <w:rFonts w:eastAsia="Times New Roman"/>
                <w:b/>
                <w:bCs/>
                <w:kern w:val="0"/>
                <w:lang w:eastAsia="en-US" w:bidi="ar-SA"/>
              </w:rPr>
              <w:t xml:space="preserve">/erakorralise </w:t>
            </w:r>
            <w:r w:rsidR="003C1CB0">
              <w:rPr>
                <w:rFonts w:eastAsia="Times New Roman"/>
                <w:b/>
                <w:bCs/>
                <w:kern w:val="0"/>
                <w:lang w:eastAsia="en-US" w:bidi="ar-SA"/>
              </w:rPr>
              <w:t>a</w:t>
            </w:r>
            <w:r w:rsidR="00C34F5F">
              <w:rPr>
                <w:rFonts w:eastAsia="Times New Roman"/>
                <w:b/>
                <w:bCs/>
                <w:kern w:val="0"/>
                <w:lang w:eastAsia="en-US" w:bidi="ar-SA"/>
              </w:rPr>
              <w:t>bi</w:t>
            </w:r>
            <w:r>
              <w:rPr>
                <w:rFonts w:eastAsia="Times New Roman"/>
                <w:b/>
                <w:bCs/>
                <w:kern w:val="0"/>
                <w:lang w:eastAsia="en-US" w:bidi="ar-SA"/>
              </w:rPr>
              <w:t xml:space="preserve"> taotlusvooru nimetus</w:t>
            </w:r>
          </w:p>
        </w:tc>
        <w:tc>
          <w:tcPr>
            <w:tcW w:w="6265" w:type="dxa"/>
            <w:gridSpan w:val="2"/>
          </w:tcPr>
          <w:p w14:paraId="65A556E6" w14:textId="77777777" w:rsidR="00F72013" w:rsidRPr="007862A0" w:rsidRDefault="00F72013" w:rsidP="00A93D72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</w:tbl>
    <w:p w14:paraId="5EA333CC" w14:textId="55B8B2AB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</w:p>
    <w:p w14:paraId="6C9612B8" w14:textId="45E3ECF5" w:rsidR="00F72013" w:rsidRPr="00CB5CF9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kern w:val="0"/>
          <w:sz w:val="22"/>
          <w:szCs w:val="22"/>
          <w:u w:val="single"/>
          <w:lang w:eastAsia="en-US" w:bidi="ar-SA"/>
        </w:rPr>
      </w:pPr>
      <w:r w:rsidRPr="00CB5CF9">
        <w:rPr>
          <w:rFonts w:eastAsia="Times New Roman"/>
          <w:b/>
          <w:kern w:val="0"/>
          <w:sz w:val="22"/>
          <w:szCs w:val="22"/>
          <w:u w:val="single"/>
          <w:lang w:eastAsia="en-US" w:bidi="ar-SA"/>
        </w:rPr>
        <w:t>Tähelepanu!</w:t>
      </w:r>
    </w:p>
    <w:p w14:paraId="54591447" w14:textId="77777777" w:rsidR="00F72013" w:rsidRPr="00CB5CF9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n-US" w:bidi="ar-SA"/>
        </w:rPr>
      </w:pPr>
    </w:p>
    <w:p w14:paraId="786BD64F" w14:textId="77777777" w:rsidR="00F72013" w:rsidRPr="00CB5CF9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color w:val="000000" w:themeColor="text1"/>
          <w:kern w:val="0"/>
          <w:sz w:val="22"/>
          <w:szCs w:val="22"/>
          <w:lang w:eastAsia="en-US" w:bidi="ar-SA"/>
        </w:rPr>
      </w:pPr>
      <w:r w:rsidRPr="00CB5CF9">
        <w:rPr>
          <w:rFonts w:eastAsia="Times New Roman"/>
          <w:bCs/>
          <w:color w:val="000000" w:themeColor="text1"/>
          <w:kern w:val="0"/>
          <w:sz w:val="22"/>
          <w:szCs w:val="22"/>
          <w:lang w:eastAsia="en-US" w:bidi="ar-SA"/>
        </w:rPr>
        <w:t xml:space="preserve">Taotlusvormi esitamisega kinnitab toetuse taotleja, et on </w:t>
      </w:r>
      <w:r w:rsidRPr="00CB5CF9">
        <w:rPr>
          <w:rFonts w:eastAsia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põhjalikult tutvunud järgmiste dokumentidega</w:t>
      </w:r>
      <w:r w:rsidRPr="00CB5CF9">
        <w:rPr>
          <w:rFonts w:eastAsia="Times New Roman"/>
          <w:bCs/>
          <w:color w:val="000000" w:themeColor="text1"/>
          <w:kern w:val="0"/>
          <w:sz w:val="22"/>
          <w:szCs w:val="22"/>
          <w:lang w:eastAsia="en-US" w:bidi="ar-SA"/>
        </w:rPr>
        <w:t>:</w:t>
      </w:r>
    </w:p>
    <w:p w14:paraId="0F17BF1F" w14:textId="3973FD70" w:rsidR="005955FF" w:rsidRPr="005955FF" w:rsidRDefault="00554DBE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r w:rsidRPr="00CB5CF9">
        <w:rPr>
          <w:color w:val="000000"/>
          <w:sz w:val="22"/>
          <w:szCs w:val="22"/>
        </w:rPr>
        <w:t xml:space="preserve">Euroopa Parlamendi ja nõukogu määrus (EL) 2021/1147, millega luuakse Varjupaiga-, Rände- ja Integratsioonifond ehk </w:t>
      </w:r>
      <w:hyperlink r:id="rId14" w:history="1">
        <w:r w:rsidRPr="00CB5CF9">
          <w:rPr>
            <w:rStyle w:val="Hyperlink"/>
            <w:sz w:val="22"/>
            <w:szCs w:val="22"/>
          </w:rPr>
          <w:t>AMIF määrus</w:t>
        </w:r>
      </w:hyperlink>
      <w:r w:rsidR="00AA0D8E" w:rsidRPr="00CB5CF9">
        <w:rPr>
          <w:color w:val="000000"/>
          <w:sz w:val="22"/>
          <w:szCs w:val="22"/>
          <w:u w:val="single"/>
        </w:rPr>
        <w:t xml:space="preserve"> </w:t>
      </w:r>
      <w:r w:rsidR="00AA0D8E" w:rsidRPr="00CB5CF9">
        <w:rPr>
          <w:color w:val="000000"/>
          <w:sz w:val="22"/>
          <w:szCs w:val="22"/>
        </w:rPr>
        <w:t>(kui tegu on AMIF erimeetme või erakorralise abiga)</w:t>
      </w:r>
      <w:r w:rsidRPr="00CB5CF9">
        <w:rPr>
          <w:color w:val="000000"/>
          <w:sz w:val="22"/>
          <w:szCs w:val="22"/>
        </w:rPr>
        <w:t>;</w:t>
      </w:r>
      <w:bookmarkStart w:id="1" w:name="_Hlk95396070"/>
      <w:r w:rsidR="00722736" w:rsidRPr="00CB5CF9">
        <w:rPr>
          <w:color w:val="000000"/>
          <w:sz w:val="22"/>
          <w:szCs w:val="22"/>
        </w:rPr>
        <w:t xml:space="preserve"> </w:t>
      </w:r>
    </w:p>
    <w:p w14:paraId="7DECA1D4" w14:textId="31CE90D9" w:rsidR="005955FF" w:rsidRPr="00CB5CF9" w:rsidRDefault="005955FF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r w:rsidRPr="00CB5CF9">
        <w:rPr>
          <w:color w:val="000000"/>
          <w:sz w:val="22"/>
          <w:szCs w:val="22"/>
        </w:rPr>
        <w:t xml:space="preserve">Euroopa Parlamendi ja nõukogu määrus (EL) 2021/1149, millega luuakse Sisejulgeolekufond ehk </w:t>
      </w:r>
      <w:hyperlink r:id="rId15" w:history="1">
        <w:r w:rsidRPr="00CB5CF9">
          <w:rPr>
            <w:rStyle w:val="Hyperlink"/>
            <w:sz w:val="22"/>
            <w:szCs w:val="22"/>
          </w:rPr>
          <w:t>ISF määrus</w:t>
        </w:r>
      </w:hyperlink>
      <w:r w:rsidRPr="00CB5CF9">
        <w:rPr>
          <w:color w:val="000000"/>
          <w:sz w:val="22"/>
          <w:szCs w:val="22"/>
          <w:u w:val="single"/>
        </w:rPr>
        <w:t xml:space="preserve"> </w:t>
      </w:r>
      <w:r w:rsidRPr="00CB5CF9">
        <w:rPr>
          <w:color w:val="000000"/>
          <w:sz w:val="22"/>
          <w:szCs w:val="22"/>
        </w:rPr>
        <w:t xml:space="preserve">(kui tegu on ISF erimeetme või erakorralise abiga); </w:t>
      </w:r>
    </w:p>
    <w:p w14:paraId="7C9FA10F" w14:textId="5928D357" w:rsidR="00722736" w:rsidRPr="00CB5CF9" w:rsidRDefault="00722736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r w:rsidRPr="00CB5CF9">
        <w:rPr>
          <w:color w:val="000000"/>
          <w:sz w:val="22"/>
          <w:szCs w:val="22"/>
        </w:rPr>
        <w:t>Euroopa Parlamendi ja nõukogu määrus (EL) 2021/1148, millega luuakse Integreeritud Piirihalduse Fondi osana piirihalduse ja viisapoliitika rahastu</w:t>
      </w:r>
      <w:bookmarkEnd w:id="1"/>
      <w:r w:rsidRPr="00CB5CF9">
        <w:rPr>
          <w:color w:val="000000"/>
          <w:sz w:val="22"/>
          <w:szCs w:val="22"/>
        </w:rPr>
        <w:t xml:space="preserve"> ehk </w:t>
      </w:r>
      <w:hyperlink r:id="rId16" w:history="1">
        <w:r w:rsidRPr="00CB5CF9">
          <w:rPr>
            <w:rStyle w:val="Hyperlink"/>
            <w:sz w:val="22"/>
            <w:szCs w:val="22"/>
          </w:rPr>
          <w:t>BMVI määrus</w:t>
        </w:r>
      </w:hyperlink>
      <w:r w:rsidR="00AA0D8E" w:rsidRPr="00CB5CF9">
        <w:rPr>
          <w:color w:val="000000"/>
          <w:sz w:val="22"/>
          <w:szCs w:val="22"/>
          <w:u w:val="single"/>
        </w:rPr>
        <w:t xml:space="preserve"> </w:t>
      </w:r>
      <w:r w:rsidR="00AA0D8E" w:rsidRPr="00CB5CF9">
        <w:rPr>
          <w:color w:val="000000"/>
          <w:sz w:val="22"/>
          <w:szCs w:val="22"/>
        </w:rPr>
        <w:t xml:space="preserve">(kui tegu on BMVI erimeetme või erakorralise abiga); </w:t>
      </w:r>
    </w:p>
    <w:p w14:paraId="43FCEB3B" w14:textId="280110B7" w:rsidR="00CB5CF9" w:rsidRPr="006D1BCC" w:rsidRDefault="003A51A4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bookmarkStart w:id="2" w:name="_Hlk96356050"/>
      <w:r w:rsidRPr="006D1BCC">
        <w:rPr>
          <w:sz w:val="22"/>
          <w:szCs w:val="22"/>
        </w:rPr>
        <w:t xml:space="preserve">Perioodi 2021-2027 Euroopa Liidu ühtekuuluvus- ja </w:t>
      </w:r>
      <w:proofErr w:type="spellStart"/>
      <w:r w:rsidRPr="006D1BCC">
        <w:rPr>
          <w:sz w:val="22"/>
          <w:szCs w:val="22"/>
        </w:rPr>
        <w:t>siseturvalisuspoliitika</w:t>
      </w:r>
      <w:proofErr w:type="spellEnd"/>
      <w:r w:rsidRPr="006D1BCC">
        <w:rPr>
          <w:sz w:val="22"/>
          <w:szCs w:val="22"/>
        </w:rPr>
        <w:t xml:space="preserve"> fondide rakendamise seadus</w:t>
      </w:r>
      <w:bookmarkEnd w:id="2"/>
      <w:r w:rsidR="006D1BCC" w:rsidRPr="006D1BCC">
        <w:rPr>
          <w:sz w:val="22"/>
          <w:szCs w:val="22"/>
        </w:rPr>
        <w:t>;</w:t>
      </w:r>
    </w:p>
    <w:p w14:paraId="34849D41" w14:textId="7A4C1E37" w:rsidR="006D1BCC" w:rsidRDefault="006D1BCC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r w:rsidRPr="00FD1D2D">
        <w:rPr>
          <w:sz w:val="22"/>
          <w:szCs w:val="22"/>
        </w:rPr>
        <w:t xml:space="preserve">Vabariigi Valituse </w:t>
      </w:r>
      <w:r w:rsidR="00FD1D2D" w:rsidRPr="00FD1D2D">
        <w:rPr>
          <w:sz w:val="22"/>
          <w:szCs w:val="22"/>
        </w:rPr>
        <w:t xml:space="preserve">12.05.2022 </w:t>
      </w:r>
      <w:r w:rsidR="00415A08" w:rsidRPr="00FD1D2D">
        <w:rPr>
          <w:sz w:val="22"/>
          <w:szCs w:val="22"/>
        </w:rPr>
        <w:t xml:space="preserve">a </w:t>
      </w:r>
      <w:r w:rsidRPr="00FD1D2D">
        <w:rPr>
          <w:sz w:val="22"/>
          <w:szCs w:val="22"/>
        </w:rPr>
        <w:t xml:space="preserve">määrus </w:t>
      </w:r>
      <w:r w:rsidR="00415A08" w:rsidRPr="00FD1D2D">
        <w:rPr>
          <w:sz w:val="22"/>
          <w:szCs w:val="22"/>
        </w:rPr>
        <w:t>nr</w:t>
      </w:r>
      <w:r w:rsidR="00FD1D2D" w:rsidRPr="00FD1D2D">
        <w:rPr>
          <w:sz w:val="22"/>
          <w:szCs w:val="22"/>
        </w:rPr>
        <w:t xml:space="preserve"> 55</w:t>
      </w:r>
      <w:r w:rsidR="00415A08" w:rsidRPr="00FD1D2D">
        <w:rPr>
          <w:sz w:val="22"/>
          <w:szCs w:val="22"/>
        </w:rPr>
        <w:t xml:space="preserve"> </w:t>
      </w:r>
      <w:r w:rsidRPr="00FD1D2D">
        <w:rPr>
          <w:sz w:val="22"/>
          <w:szCs w:val="22"/>
        </w:rPr>
        <w:t>„Perioodi 2021–2027 Euroopa Liidu ühtekuuluvus</w:t>
      </w:r>
      <w:r w:rsidR="00FD1D2D" w:rsidRPr="00FD1D2D">
        <w:rPr>
          <w:sz w:val="22"/>
          <w:szCs w:val="22"/>
        </w:rPr>
        <w:t>-</w:t>
      </w:r>
      <w:r w:rsidRPr="00FD1D2D">
        <w:rPr>
          <w:sz w:val="22"/>
          <w:szCs w:val="22"/>
        </w:rPr>
        <w:t xml:space="preserve"> ja </w:t>
      </w:r>
      <w:proofErr w:type="spellStart"/>
      <w:r w:rsidRPr="00FD1D2D">
        <w:rPr>
          <w:sz w:val="22"/>
          <w:szCs w:val="22"/>
        </w:rPr>
        <w:t>siseturvalisuspoliitika</w:t>
      </w:r>
      <w:proofErr w:type="spellEnd"/>
      <w:r w:rsidRPr="00FD1D2D">
        <w:rPr>
          <w:sz w:val="22"/>
          <w:szCs w:val="22"/>
        </w:rPr>
        <w:t xml:space="preserve"> fondide rakenduskavade vahendite andmise ja kasutamise tingimuse</w:t>
      </w:r>
      <w:r w:rsidR="00F04913" w:rsidRPr="00FD1D2D">
        <w:rPr>
          <w:sz w:val="22"/>
          <w:szCs w:val="22"/>
        </w:rPr>
        <w:t>d“;</w:t>
      </w:r>
    </w:p>
    <w:p w14:paraId="553021A2" w14:textId="4C2BAE9A" w:rsidR="00FD1D2D" w:rsidRPr="00FD1D2D" w:rsidRDefault="00FD1D2D" w:rsidP="00A24066">
      <w:pPr>
        <w:pStyle w:val="ListParagraph"/>
        <w:numPr>
          <w:ilvl w:val="1"/>
          <w:numId w:val="1"/>
        </w:numPr>
        <w:tabs>
          <w:tab w:val="clear" w:pos="1440"/>
        </w:tabs>
        <w:ind w:left="709" w:hanging="567"/>
        <w:contextualSpacing w:val="0"/>
        <w:rPr>
          <w:sz w:val="22"/>
          <w:szCs w:val="22"/>
        </w:rPr>
      </w:pPr>
      <w:r w:rsidRPr="00FD1D2D">
        <w:rPr>
          <w:sz w:val="22"/>
          <w:szCs w:val="22"/>
        </w:rPr>
        <w:t>Vabariigi Valituse 12.05.2022 a määrus nr 5</w:t>
      </w:r>
      <w:r>
        <w:rPr>
          <w:sz w:val="22"/>
          <w:szCs w:val="22"/>
        </w:rPr>
        <w:t>4</w:t>
      </w:r>
      <w:r w:rsidRPr="00FD1D2D">
        <w:rPr>
          <w:sz w:val="22"/>
          <w:szCs w:val="22"/>
        </w:rPr>
        <w:t xml:space="preserve"> „Perioodi 2021–2027 ühtekuuluvus- ja </w:t>
      </w:r>
      <w:proofErr w:type="spellStart"/>
      <w:r w:rsidRPr="00FD1D2D">
        <w:rPr>
          <w:sz w:val="22"/>
          <w:szCs w:val="22"/>
        </w:rPr>
        <w:t>siseturvalisuspoliitika</w:t>
      </w:r>
      <w:proofErr w:type="spellEnd"/>
      <w:r w:rsidRPr="00FD1D2D">
        <w:rPr>
          <w:sz w:val="22"/>
          <w:szCs w:val="22"/>
        </w:rPr>
        <w:t xml:space="preserve"> fondide vahendite andmisest avalikkuse teavitamine</w:t>
      </w:r>
      <w:r>
        <w:rPr>
          <w:sz w:val="22"/>
          <w:szCs w:val="22"/>
        </w:rPr>
        <w:t>";</w:t>
      </w:r>
    </w:p>
    <w:p w14:paraId="1E60CB79" w14:textId="1D654528" w:rsidR="00F72013" w:rsidRPr="00CB5CF9" w:rsidRDefault="00BD16C4" w:rsidP="00A24066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709" w:hanging="567"/>
        <w:rPr>
          <w:rFonts w:eastAsia="Times New Roman"/>
          <w:bCs/>
          <w:kern w:val="0"/>
          <w:sz w:val="22"/>
          <w:szCs w:val="22"/>
          <w:lang w:eastAsia="en-US" w:bidi="ar-SA"/>
        </w:rPr>
      </w:pPr>
      <w:r>
        <w:rPr>
          <w:rFonts w:eastAsia="Times New Roman"/>
          <w:bCs/>
          <w:kern w:val="0"/>
          <w:sz w:val="22"/>
          <w:szCs w:val="22"/>
          <w:lang w:eastAsia="en-US" w:bidi="ar-SA"/>
        </w:rPr>
        <w:t>muud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eastAsia="Times New Roman"/>
          <w:bCs/>
          <w:kern w:val="0"/>
          <w:sz w:val="22"/>
          <w:szCs w:val="22"/>
          <w:lang w:eastAsia="en-US" w:bidi="ar-SA"/>
        </w:rPr>
        <w:t>veebiaadressil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hyperlink r:id="rId17" w:history="1">
        <w:r w:rsidR="00FD1D2D" w:rsidRPr="004165CC">
          <w:rPr>
            <w:rStyle w:val="Hyperlink"/>
          </w:rPr>
          <w:t>https://www.siseministeerium.ee/tegevusvaldkonnad/rahvusvaheline-koostoo/euroopa-liidu-toetused</w:t>
        </w:r>
      </w:hyperlink>
      <w:r w:rsidR="00FD1D2D">
        <w:t xml:space="preserve"> </w:t>
      </w:r>
      <w:r w:rsidR="00E973F7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ning </w:t>
      </w:r>
      <w:hyperlink r:id="rId18" w:history="1">
        <w:r w:rsidR="00E973F7" w:rsidRPr="004165CC">
          <w:rPr>
            <w:rStyle w:val="Hyperlink"/>
            <w:rFonts w:eastAsia="Times New Roman"/>
            <w:bCs/>
            <w:kern w:val="0"/>
            <w:sz w:val="22"/>
            <w:szCs w:val="22"/>
            <w:lang w:eastAsia="en-US" w:bidi="ar-SA"/>
          </w:rPr>
          <w:t>https://www.siseministeerium.ee/seirekomisjon</w:t>
        </w:r>
      </w:hyperlink>
      <w:r w:rsidR="00E973F7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r w:rsidR="00F72013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asuvad </w:t>
      </w:r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perioodi 2021-2027 </w:t>
      </w:r>
      <w:proofErr w:type="spellStart"/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AMIFit</w:t>
      </w:r>
      <w:proofErr w:type="spellEnd"/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/</w:t>
      </w:r>
      <w:proofErr w:type="spellStart"/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BMVId</w:t>
      </w:r>
      <w:proofErr w:type="spellEnd"/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/</w:t>
      </w:r>
      <w:proofErr w:type="spellStart"/>
      <w:r w:rsidR="00F72013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ISF</w:t>
      </w:r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i</w:t>
      </w:r>
      <w:proofErr w:type="spellEnd"/>
      <w:r w:rsidR="00722736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r w:rsidR="00F72013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puudutavad dokumendid. </w:t>
      </w:r>
    </w:p>
    <w:p w14:paraId="7877F2AB" w14:textId="77777777" w:rsidR="00F04913" w:rsidRDefault="00F049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 w:val="22"/>
          <w:szCs w:val="22"/>
          <w:lang w:eastAsia="en-US" w:bidi="ar-SA"/>
        </w:rPr>
      </w:pPr>
    </w:p>
    <w:p w14:paraId="49043E38" w14:textId="5C92F806" w:rsidR="00F72013" w:rsidRPr="00CB5CF9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 w:val="22"/>
          <w:szCs w:val="22"/>
          <w:lang w:eastAsia="en-US" w:bidi="ar-SA"/>
        </w:rPr>
      </w:pP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Taotlusvormi</w:t>
      </w:r>
      <w:r w:rsidR="008B2E9D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peab </w:t>
      </w:r>
      <w:r w:rsidR="008B2E9D">
        <w:rPr>
          <w:rFonts w:eastAsia="Times New Roman"/>
          <w:bCs/>
          <w:kern w:val="0"/>
          <w:sz w:val="22"/>
          <w:szCs w:val="22"/>
          <w:lang w:eastAsia="en-US" w:bidi="ar-SA"/>
        </w:rPr>
        <w:t>esitama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</w:t>
      </w:r>
      <w:r w:rsidR="008B2E9D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elektrooniliselt </w:t>
      </w:r>
      <w:r w:rsidRPr="00CB5CF9">
        <w:rPr>
          <w:rFonts w:eastAsia="Times New Roman"/>
          <w:b/>
          <w:bCs/>
          <w:kern w:val="0"/>
          <w:sz w:val="22"/>
          <w:szCs w:val="22"/>
          <w:lang w:eastAsia="en-US" w:bidi="ar-SA"/>
        </w:rPr>
        <w:t>trükitult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. Käsitsi täidetud vorme ei arvestata. Esitatavas taotluses peavad kõik väljad olema täidetud</w:t>
      </w:r>
      <w:r w:rsidR="008B2E9D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. </w:t>
      </w:r>
      <w:r w:rsidR="00AA0D8E"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K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>ui osa küsitud teabest on esitamata, on Siseministeeriumi</w:t>
      </w:r>
      <w:r w:rsidR="008B2E9D">
        <w:rPr>
          <w:rFonts w:eastAsia="Times New Roman"/>
          <w:bCs/>
          <w:kern w:val="0"/>
          <w:sz w:val="22"/>
          <w:szCs w:val="22"/>
          <w:lang w:eastAsia="en-US" w:bidi="ar-SA"/>
        </w:rPr>
        <w:t>l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 (SiM) õigus </w:t>
      </w:r>
      <w:r w:rsidRPr="00CB5CF9">
        <w:rPr>
          <w:bCs/>
          <w:sz w:val="22"/>
          <w:szCs w:val="22"/>
        </w:rPr>
        <w:t>taotlus tagasi lükata</w:t>
      </w:r>
      <w:r w:rsidRPr="00CB5CF9">
        <w:rPr>
          <w:rFonts w:eastAsia="Times New Roman"/>
          <w:bCs/>
          <w:kern w:val="0"/>
          <w:sz w:val="22"/>
          <w:szCs w:val="22"/>
          <w:lang w:eastAsia="en-US" w:bidi="ar-SA"/>
        </w:rPr>
        <w:t xml:space="preserve">. </w:t>
      </w:r>
    </w:p>
    <w:p w14:paraId="42D3B9B1" w14:textId="77777777" w:rsidR="00F72013" w:rsidRPr="00CB5CF9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n-US" w:bidi="ar-SA"/>
        </w:rPr>
      </w:pPr>
    </w:p>
    <w:p w14:paraId="4F87A2DA" w14:textId="547DA156" w:rsidR="00F72013" w:rsidRPr="00CB5CF9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 w:val="22"/>
          <w:szCs w:val="22"/>
          <w:lang w:eastAsia="en-US" w:bidi="ar-SA"/>
        </w:rPr>
      </w:pPr>
      <w:r w:rsidRPr="00CB5CF9">
        <w:rPr>
          <w:rFonts w:eastAsia="Times New Roman"/>
          <w:kern w:val="0"/>
          <w:sz w:val="22"/>
          <w:szCs w:val="22"/>
          <w:lang w:eastAsia="en-US" w:bidi="ar-SA"/>
        </w:rPr>
        <w:lastRenderedPageBreak/>
        <w:t xml:space="preserve">Küsimuste tekkimisel palume ühendust võtta SiM </w:t>
      </w:r>
      <w:proofErr w:type="spellStart"/>
      <w:r w:rsidRPr="00CB5CF9">
        <w:rPr>
          <w:rFonts w:eastAsia="Times New Roman"/>
          <w:kern w:val="0"/>
          <w:sz w:val="22"/>
          <w:szCs w:val="22"/>
          <w:lang w:eastAsia="en-US" w:bidi="ar-SA"/>
        </w:rPr>
        <w:t>välisvahendite</w:t>
      </w:r>
      <w:proofErr w:type="spellEnd"/>
      <w:r w:rsidRPr="00CB5CF9">
        <w:rPr>
          <w:rFonts w:eastAsia="Times New Roman"/>
          <w:kern w:val="0"/>
          <w:sz w:val="22"/>
          <w:szCs w:val="22"/>
          <w:lang w:eastAsia="en-US" w:bidi="ar-SA"/>
        </w:rPr>
        <w:t xml:space="preserve"> osakonnaga kui fondi </w:t>
      </w:r>
      <w:r w:rsidR="00554DBE" w:rsidRPr="00CB5CF9">
        <w:rPr>
          <w:rFonts w:eastAsia="Times New Roman"/>
          <w:kern w:val="0"/>
          <w:sz w:val="22"/>
          <w:szCs w:val="22"/>
          <w:lang w:eastAsia="en-US" w:bidi="ar-SA"/>
        </w:rPr>
        <w:t>(AMIF</w:t>
      </w:r>
      <w:r w:rsidR="005955FF">
        <w:rPr>
          <w:rFonts w:eastAsia="Times New Roman"/>
          <w:kern w:val="0"/>
          <w:sz w:val="22"/>
          <w:szCs w:val="22"/>
          <w:lang w:eastAsia="en-US" w:bidi="ar-SA"/>
        </w:rPr>
        <w:t>/ISF/BMVI</w:t>
      </w:r>
      <w:r w:rsidR="00554DBE" w:rsidRPr="00CB5CF9">
        <w:rPr>
          <w:rFonts w:eastAsia="Times New Roman"/>
          <w:kern w:val="0"/>
          <w:sz w:val="22"/>
          <w:szCs w:val="22"/>
          <w:lang w:eastAsia="en-US" w:bidi="ar-SA"/>
        </w:rPr>
        <w:t xml:space="preserve">) </w:t>
      </w:r>
      <w:r w:rsidRPr="00CB5CF9">
        <w:rPr>
          <w:rFonts w:eastAsia="Times New Roman"/>
          <w:kern w:val="0"/>
          <w:sz w:val="22"/>
          <w:szCs w:val="22"/>
          <w:lang w:eastAsia="en-US" w:bidi="ar-SA"/>
        </w:rPr>
        <w:t xml:space="preserve">rakendamise </w:t>
      </w:r>
      <w:r w:rsidR="00E973F7">
        <w:rPr>
          <w:rFonts w:eastAsia="Times New Roman"/>
          <w:kern w:val="0"/>
          <w:sz w:val="22"/>
          <w:szCs w:val="22"/>
          <w:lang w:eastAsia="en-US" w:bidi="ar-SA"/>
        </w:rPr>
        <w:t>korraldusasutusega</w:t>
      </w:r>
      <w:r w:rsidRPr="00CB5CF9">
        <w:rPr>
          <w:rFonts w:eastAsia="Times New Roman"/>
          <w:kern w:val="0"/>
          <w:sz w:val="22"/>
          <w:szCs w:val="22"/>
          <w:lang w:eastAsia="en-US" w:bidi="ar-SA"/>
        </w:rPr>
        <w:t>.</w:t>
      </w:r>
    </w:p>
    <w:p w14:paraId="217F60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"/>
        <w:tblW w:w="9351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1"/>
      </w:tblGrid>
      <w:tr w:rsidR="00F72013" w14:paraId="36415B4C" w14:textId="77777777" w:rsidTr="00E15602">
        <w:tc>
          <w:tcPr>
            <w:tcW w:w="9351" w:type="dxa"/>
            <w:shd w:val="clear" w:color="auto" w:fill="8DB3E2" w:themeFill="text2" w:themeFillTint="66"/>
          </w:tcPr>
          <w:p w14:paraId="3A5FF414" w14:textId="4BDCC903" w:rsidR="00F72013" w:rsidRDefault="00F72013" w:rsidP="00E15602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6"/>
                <w:lang w:eastAsia="en-US" w:bidi="ar-SA"/>
              </w:rPr>
              <w:t xml:space="preserve"> </w:t>
            </w:r>
          </w:p>
          <w:p w14:paraId="0E2381C1" w14:textId="77777777" w:rsidR="00F72013" w:rsidRPr="007862A0" w:rsidRDefault="00F72013" w:rsidP="00E15602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lang w:eastAsia="en-US" w:bidi="ar-SA"/>
              </w:rPr>
              <w:t>I TEAVE TAOTLEJA KOHTA</w:t>
            </w:r>
          </w:p>
          <w:p w14:paraId="03357E77" w14:textId="77777777" w:rsidR="00F72013" w:rsidRDefault="00F72013" w:rsidP="00E15602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/>
                <w:kern w:val="0"/>
                <w:szCs w:val="22"/>
                <w:lang w:eastAsia="en-US" w:bidi="ar-SA"/>
              </w:rPr>
            </w:pPr>
          </w:p>
        </w:tc>
      </w:tr>
    </w:tbl>
    <w:p w14:paraId="46778E9F" w14:textId="77777777" w:rsidR="00F72013" w:rsidRPr="00F04913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rPr>
          <w:rFonts w:eastAsia="Times New Roman"/>
          <w:b/>
          <w:bCs/>
          <w:kern w:val="0"/>
          <w:sz w:val="22"/>
          <w:szCs w:val="22"/>
          <w:lang w:eastAsia="en-US" w:bidi="ar-SA"/>
        </w:rPr>
      </w:pPr>
      <w:r w:rsidRPr="00F04913">
        <w:rPr>
          <w:rFonts w:eastAsia="Times New Roman"/>
          <w:b/>
          <w:bCs/>
          <w:kern w:val="0"/>
          <w:sz w:val="22"/>
          <w:szCs w:val="22"/>
          <w:lang w:eastAsia="en-US" w:bidi="ar-SA"/>
        </w:rPr>
        <w:t>Taotleja andmed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285"/>
      </w:tblGrid>
      <w:tr w:rsidR="00F72013" w:rsidRPr="00F04913" w14:paraId="60B5E7F7" w14:textId="77777777" w:rsidTr="00E15602">
        <w:tc>
          <w:tcPr>
            <w:tcW w:w="3066" w:type="dxa"/>
            <w:shd w:val="clear" w:color="auto" w:fill="D9D9D9" w:themeFill="background1" w:themeFillShade="D9"/>
          </w:tcPr>
          <w:p w14:paraId="736EB5E4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  <w:t>Juriidiline nimi</w:t>
            </w:r>
          </w:p>
        </w:tc>
        <w:tc>
          <w:tcPr>
            <w:tcW w:w="6285" w:type="dxa"/>
          </w:tcPr>
          <w:p w14:paraId="7944D54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F72013" w:rsidRPr="00F04913" w14:paraId="34233326" w14:textId="77777777" w:rsidTr="00E15602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3D90E857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  <w:t>Õiguslik staatus</w:t>
            </w:r>
          </w:p>
        </w:tc>
        <w:tc>
          <w:tcPr>
            <w:tcW w:w="6285" w:type="dxa"/>
          </w:tcPr>
          <w:p w14:paraId="7B2E23E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F72013" w:rsidRPr="00F04913" w14:paraId="6C921663" w14:textId="77777777" w:rsidTr="00E15602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456E0C8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  <w:t>Registrikood</w:t>
            </w:r>
          </w:p>
        </w:tc>
        <w:tc>
          <w:tcPr>
            <w:tcW w:w="6285" w:type="dxa"/>
          </w:tcPr>
          <w:p w14:paraId="29E26038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u w:val="single"/>
                <w:lang w:eastAsia="en-US" w:bidi="ar-SA"/>
              </w:rPr>
            </w:pPr>
          </w:p>
        </w:tc>
      </w:tr>
    </w:tbl>
    <w:p w14:paraId="3CB6A9F9" w14:textId="77777777" w:rsidR="00F72013" w:rsidRPr="00F049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2"/>
          <w:szCs w:val="22"/>
          <w:lang w:eastAsia="en-US" w:bidi="ar-SA"/>
        </w:rPr>
      </w:pPr>
    </w:p>
    <w:p w14:paraId="46A38F39" w14:textId="77777777" w:rsidR="00F72013" w:rsidRPr="00F04913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iCs/>
          <w:kern w:val="0"/>
          <w:sz w:val="22"/>
          <w:szCs w:val="22"/>
          <w:lang w:eastAsia="en-US" w:bidi="ar-SA"/>
        </w:rPr>
      </w:pPr>
      <w:r w:rsidRPr="00F04913">
        <w:rPr>
          <w:rFonts w:eastAsia="Times New Roman"/>
          <w:b/>
          <w:bCs/>
          <w:kern w:val="0"/>
          <w:sz w:val="22"/>
          <w:szCs w:val="22"/>
          <w:lang w:eastAsia="en-US" w:bidi="ar-SA"/>
        </w:rPr>
        <w:t xml:space="preserve">Taotleja organisatsiooni esindajad </w:t>
      </w:r>
    </w:p>
    <w:p w14:paraId="0478C1A9" w14:textId="77777777" w:rsidR="00F72013" w:rsidRPr="00F04913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n-US" w:bidi="ar-SA"/>
        </w:rPr>
      </w:pPr>
      <w:r w:rsidRPr="00F04913">
        <w:rPr>
          <w:rFonts w:eastAsia="Times New Roman"/>
          <w:b/>
          <w:bCs/>
          <w:kern w:val="0"/>
          <w:sz w:val="22"/>
          <w:szCs w:val="22"/>
          <w:lang w:eastAsia="en-US" w:bidi="ar-SA"/>
        </w:rPr>
        <w:t xml:space="preserve">Juriidiline esindaja </w:t>
      </w:r>
      <w:r w:rsidRPr="00F04913">
        <w:rPr>
          <w:rFonts w:eastAsia="Times New Roman"/>
          <w:bCs/>
          <w:i/>
          <w:kern w:val="0"/>
          <w:sz w:val="22"/>
          <w:szCs w:val="22"/>
          <w:lang w:eastAsia="en-US" w:bidi="ar-SA"/>
        </w:rPr>
        <w:t>(toetuslepingu ja toetuse taotluse allkirjastamine)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F72013" w:rsidRPr="00F04913" w14:paraId="49452B75" w14:textId="77777777" w:rsidTr="00F75715">
        <w:trPr>
          <w:trHeight w:val="205"/>
        </w:trPr>
        <w:tc>
          <w:tcPr>
            <w:tcW w:w="3114" w:type="dxa"/>
            <w:shd w:val="clear" w:color="auto" w:fill="D9D9D9" w:themeFill="background1" w:themeFillShade="D9"/>
          </w:tcPr>
          <w:p w14:paraId="27AA17E2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Nimi:</w:t>
            </w:r>
          </w:p>
        </w:tc>
        <w:tc>
          <w:tcPr>
            <w:tcW w:w="6237" w:type="dxa"/>
          </w:tcPr>
          <w:p w14:paraId="4363086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327B802E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2583B5B8" w14:textId="39123067" w:rsidR="00F72013" w:rsidRPr="00F04913" w:rsidRDefault="00F72013" w:rsidP="00F7571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Ametikoht</w:t>
            </w:r>
            <w:r w:rsidR="00F75715"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organisatsioonis:</w:t>
            </w:r>
          </w:p>
        </w:tc>
        <w:tc>
          <w:tcPr>
            <w:tcW w:w="6237" w:type="dxa"/>
          </w:tcPr>
          <w:p w14:paraId="48DF1D8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47944BDE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46F145E5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Telefoninumber:</w:t>
            </w:r>
          </w:p>
        </w:tc>
        <w:tc>
          <w:tcPr>
            <w:tcW w:w="6237" w:type="dxa"/>
          </w:tcPr>
          <w:p w14:paraId="31132C39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3C9E065F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1F2F503A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E-posti aadress:</w:t>
            </w:r>
          </w:p>
        </w:tc>
        <w:tc>
          <w:tcPr>
            <w:tcW w:w="6237" w:type="dxa"/>
          </w:tcPr>
          <w:p w14:paraId="75258CF8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5674328" w14:textId="77777777" w:rsidR="00F72013" w:rsidRPr="00F049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2"/>
          <w:szCs w:val="22"/>
          <w:lang w:eastAsia="en-US" w:bidi="ar-SA"/>
        </w:rPr>
      </w:pPr>
    </w:p>
    <w:p w14:paraId="35880470" w14:textId="77777777" w:rsidR="00F72013" w:rsidRPr="00F04913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 w:val="22"/>
          <w:szCs w:val="22"/>
          <w:u w:val="single"/>
          <w:lang w:eastAsia="en-US" w:bidi="ar-SA"/>
        </w:rPr>
      </w:pPr>
      <w:r w:rsidRPr="00F04913">
        <w:rPr>
          <w:rFonts w:eastAsia="Times New Roman"/>
          <w:b/>
          <w:bCs/>
          <w:kern w:val="0"/>
          <w:sz w:val="22"/>
          <w:szCs w:val="22"/>
          <w:lang w:eastAsia="en-US" w:bidi="ar-SA"/>
        </w:rPr>
        <w:t>Projekti eest vastutav isik/projektijuht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F72013" w:rsidRPr="00F04913" w14:paraId="4CF025D2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3E1F0B4A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Nimi:</w:t>
            </w:r>
          </w:p>
        </w:tc>
        <w:tc>
          <w:tcPr>
            <w:tcW w:w="6237" w:type="dxa"/>
          </w:tcPr>
          <w:p w14:paraId="6455DC45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71C15D03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5F85C004" w14:textId="507615FE" w:rsidR="00F72013" w:rsidRPr="00F04913" w:rsidRDefault="00F72013" w:rsidP="00F7571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Ametikoht</w:t>
            </w:r>
            <w:r w:rsidR="00F75715"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organisatsioonis:</w:t>
            </w:r>
          </w:p>
        </w:tc>
        <w:tc>
          <w:tcPr>
            <w:tcW w:w="6237" w:type="dxa"/>
          </w:tcPr>
          <w:p w14:paraId="29245443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42DA6628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221A31A8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Telefoninumber:</w:t>
            </w:r>
          </w:p>
        </w:tc>
        <w:tc>
          <w:tcPr>
            <w:tcW w:w="6237" w:type="dxa"/>
          </w:tcPr>
          <w:p w14:paraId="61EFAD5B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17CE9518" w14:textId="77777777" w:rsidTr="00F75715">
        <w:tc>
          <w:tcPr>
            <w:tcW w:w="3114" w:type="dxa"/>
            <w:shd w:val="clear" w:color="auto" w:fill="D9D9D9" w:themeFill="background1" w:themeFillShade="D9"/>
          </w:tcPr>
          <w:p w14:paraId="4F8DEE2A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E-posti aadress:</w:t>
            </w:r>
          </w:p>
        </w:tc>
        <w:tc>
          <w:tcPr>
            <w:tcW w:w="6237" w:type="dxa"/>
          </w:tcPr>
          <w:p w14:paraId="12F68EBD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B3A888A" w14:textId="07B8DCD6" w:rsidR="00F72013" w:rsidRPr="00F049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n-US" w:bidi="ar-SA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256"/>
        <w:gridCol w:w="5805"/>
      </w:tblGrid>
      <w:tr w:rsidR="00F72013" w14:paraId="0F755B91" w14:textId="77777777" w:rsidTr="00F75715">
        <w:tc>
          <w:tcPr>
            <w:tcW w:w="9061" w:type="dxa"/>
            <w:gridSpan w:val="2"/>
            <w:shd w:val="clear" w:color="auto" w:fill="8DB3E2" w:themeFill="text2" w:themeFillTint="66"/>
          </w:tcPr>
          <w:p w14:paraId="5B96A742" w14:textId="77777777" w:rsidR="00F72013" w:rsidRDefault="00F72013" w:rsidP="00E1560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  <w:p w14:paraId="3D9B721B" w14:textId="77777777" w:rsidR="00F72013" w:rsidRPr="000E3A6D" w:rsidRDefault="00F72013" w:rsidP="00E15602">
            <w:pPr>
              <w:widowControl/>
              <w:suppressAutoHyphens w:val="0"/>
              <w:spacing w:after="240"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0E3A6D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II PROJEKT</w:t>
            </w:r>
          </w:p>
        </w:tc>
      </w:tr>
      <w:tr w:rsidR="000F60F5" w14:paraId="6BB4F551" w14:textId="77777777" w:rsidTr="00F75715">
        <w:tblPrEx>
          <w:shd w:val="clear" w:color="auto" w:fill="auto"/>
        </w:tblPrEx>
        <w:trPr>
          <w:trHeight w:val="479"/>
        </w:trPr>
        <w:tc>
          <w:tcPr>
            <w:tcW w:w="3256" w:type="dxa"/>
          </w:tcPr>
          <w:p w14:paraId="166E1CEC" w14:textId="48B1B286" w:rsidR="000F60F5" w:rsidRDefault="000F60F5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kern w:val="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lang w:eastAsia="en-US" w:bidi="ar-SA"/>
              </w:rPr>
              <w:t xml:space="preserve">Selgitage, </w:t>
            </w:r>
          </w:p>
        </w:tc>
        <w:tc>
          <w:tcPr>
            <w:tcW w:w="5805" w:type="dxa"/>
          </w:tcPr>
          <w:p w14:paraId="19584DFF" w14:textId="77777777" w:rsidR="000F60F5" w:rsidRDefault="000F60F5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kern w:val="0"/>
                <w:lang w:eastAsia="en-US" w:bidi="ar-SA"/>
              </w:rPr>
            </w:pPr>
          </w:p>
        </w:tc>
      </w:tr>
      <w:tr w:rsidR="000F60F5" w14:paraId="707E544F" w14:textId="77777777" w:rsidTr="00F75715">
        <w:tblPrEx>
          <w:shd w:val="clear" w:color="auto" w:fill="auto"/>
        </w:tblPrEx>
        <w:tc>
          <w:tcPr>
            <w:tcW w:w="3256" w:type="dxa"/>
          </w:tcPr>
          <w:p w14:paraId="183421C9" w14:textId="2956620B" w:rsidR="000F60F5" w:rsidRPr="00C375BA" w:rsidRDefault="00C4235C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kuidas </w:t>
            </w:r>
            <w:r w:rsidR="00662597" w:rsidRPr="00C375BA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p</w:t>
            </w:r>
            <w:r w:rsidR="00555108" w:rsidRPr="00C375BA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rojekt vastab fondi </w:t>
            </w:r>
            <w:r w:rsidR="00DF643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poliitika</w:t>
            </w:r>
            <w:r w:rsidR="00555108" w:rsidRPr="00C375BA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eesmär</w:t>
            </w:r>
            <w:r w:rsidR="00DF643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gile ja erieesmärgile</w:t>
            </w:r>
          </w:p>
        </w:tc>
        <w:tc>
          <w:tcPr>
            <w:tcW w:w="5805" w:type="dxa"/>
          </w:tcPr>
          <w:p w14:paraId="2300CB27" w14:textId="0EE84877" w:rsidR="000F60F5" w:rsidRPr="00CB5CF9" w:rsidRDefault="00CB5CF9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i/>
                <w:kern w:val="0"/>
                <w:sz w:val="22"/>
                <w:szCs w:val="22"/>
                <w:lang w:eastAsia="en-US" w:bidi="ar-SA"/>
              </w:rPr>
            </w:pPr>
            <w:r w:rsidRPr="00CB5CF9"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>vt AMIF/ISF</w:t>
            </w:r>
            <w:r w:rsidR="005955FF"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>/BMVI</w:t>
            </w:r>
            <w:r w:rsidRPr="00CB5CF9"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 xml:space="preserve"> määrus</w:t>
            </w:r>
            <w:r w:rsidR="005955FF"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>e</w:t>
            </w:r>
            <w:r w:rsidRPr="00CB5CF9"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 xml:space="preserve"> art 3</w:t>
            </w:r>
          </w:p>
        </w:tc>
      </w:tr>
      <w:tr w:rsidR="00DF6439" w14:paraId="2BEC58E0" w14:textId="77777777" w:rsidTr="00F75715">
        <w:tblPrEx>
          <w:shd w:val="clear" w:color="auto" w:fill="auto"/>
        </w:tblPrEx>
        <w:tc>
          <w:tcPr>
            <w:tcW w:w="3256" w:type="dxa"/>
          </w:tcPr>
          <w:p w14:paraId="15DDCAE9" w14:textId="753388B4" w:rsidR="00DF6439" w:rsidRDefault="00DF6439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projekt</w:t>
            </w:r>
            <w:r w:rsidR="00CD37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D37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kooskõla pikaajalise arengustrateegia </w:t>
            </w: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„Eesti 2035</w:t>
            </w:r>
            <w:r w:rsidR="00CD371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“ aluspõhimõtete ja sihtidega</w:t>
            </w:r>
          </w:p>
        </w:tc>
        <w:tc>
          <w:tcPr>
            <w:tcW w:w="5805" w:type="dxa"/>
          </w:tcPr>
          <w:p w14:paraId="78BDFEFE" w14:textId="77777777" w:rsidR="00DF6439" w:rsidRPr="00C375BA" w:rsidRDefault="00DF6439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60F5" w14:paraId="1E6BE2DA" w14:textId="77777777" w:rsidTr="00F75715">
        <w:tblPrEx>
          <w:shd w:val="clear" w:color="auto" w:fill="auto"/>
        </w:tblPrEx>
        <w:tc>
          <w:tcPr>
            <w:tcW w:w="3256" w:type="dxa"/>
          </w:tcPr>
          <w:p w14:paraId="39753CEE" w14:textId="0CA4D981" w:rsidR="008518ED" w:rsidRPr="00A35E6D" w:rsidRDefault="00C4235C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kuidas </w:t>
            </w:r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projekt vastab </w:t>
            </w:r>
            <w:r w:rsidR="007F7352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„</w:t>
            </w:r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Siseturvalisuse Arengukava 2020-2030</w:t>
            </w:r>
            <w:r w:rsidR="007F7352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“</w:t>
            </w:r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AMIFi</w:t>
            </w:r>
            <w:proofErr w:type="spellEnd"/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puhul </w:t>
            </w:r>
            <w:r w:rsidR="00135533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vajadusel</w:t>
            </w:r>
            <w:r w:rsidR="00722736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ka </w:t>
            </w:r>
            <w:r w:rsidR="007F7352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„</w:t>
            </w:r>
            <w:r w:rsidR="00C375BA" w:rsidRPr="00A35E6D">
              <w:rPr>
                <w:sz w:val="22"/>
                <w:szCs w:val="22"/>
              </w:rPr>
              <w:t>Sidusa Eesti arengukava 2021-2030</w:t>
            </w:r>
            <w:r w:rsidR="007F7352">
              <w:rPr>
                <w:sz w:val="22"/>
                <w:szCs w:val="22"/>
              </w:rPr>
              <w:t>“</w:t>
            </w:r>
            <w:r w:rsidR="00C375BA" w:rsidRPr="00A35E6D">
              <w:rPr>
                <w:sz w:val="22"/>
                <w:szCs w:val="22"/>
              </w:rPr>
              <w:t>)</w:t>
            </w:r>
            <w:r w:rsidR="00C375BA" w:rsidRPr="00A35E6D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eesmärkidele</w:t>
            </w:r>
          </w:p>
        </w:tc>
        <w:tc>
          <w:tcPr>
            <w:tcW w:w="5805" w:type="dxa"/>
          </w:tcPr>
          <w:p w14:paraId="61AF5565" w14:textId="77777777" w:rsidR="000F60F5" w:rsidRPr="00C375BA" w:rsidRDefault="000F60F5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60F5" w14:paraId="149D0DA8" w14:textId="77777777" w:rsidTr="00F75715">
        <w:tblPrEx>
          <w:shd w:val="clear" w:color="auto" w:fill="auto"/>
        </w:tblPrEx>
        <w:tc>
          <w:tcPr>
            <w:tcW w:w="3256" w:type="dxa"/>
          </w:tcPr>
          <w:p w14:paraId="2BEA92E6" w14:textId="659927FB" w:rsidR="000F60F5" w:rsidRPr="00FB36F9" w:rsidRDefault="004C4C79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kuidas </w:t>
            </w:r>
            <w:r w:rsidR="00E973F7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kaetakse</w:t>
            </w:r>
            <w:r w:rsidR="004628E5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tegevus- ja hoolduskulud, kui projekti tegevused hõlmavad taristuinvesteeringut või tootlikku investeeringut, et tagada nende finantskestlikkus</w:t>
            </w:r>
            <w:r w:rsidR="007F7352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(kui kohaldub)</w:t>
            </w:r>
          </w:p>
        </w:tc>
        <w:tc>
          <w:tcPr>
            <w:tcW w:w="5805" w:type="dxa"/>
          </w:tcPr>
          <w:p w14:paraId="611242E4" w14:textId="77777777" w:rsidR="000F60F5" w:rsidRPr="00C375BA" w:rsidRDefault="000F60F5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60F5" w14:paraId="62C3757E" w14:textId="77777777" w:rsidTr="00F75715">
        <w:tblPrEx>
          <w:shd w:val="clear" w:color="auto" w:fill="auto"/>
        </w:tblPrEx>
        <w:tc>
          <w:tcPr>
            <w:tcW w:w="3256" w:type="dxa"/>
          </w:tcPr>
          <w:p w14:paraId="68219DED" w14:textId="37B01D2D" w:rsidR="00C4235C" w:rsidRPr="00FB36F9" w:rsidRDefault="006720F4" w:rsidP="000620A0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kuidas tagatakse</w:t>
            </w:r>
            <w:r w:rsidR="000620A0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EL põhiõiguste harta täitmi</w:t>
            </w:r>
            <w:r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ne</w:t>
            </w:r>
            <w:r w:rsidR="000620A0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ja </w:t>
            </w:r>
            <w:r w:rsidR="00C4235C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välista</w:t>
            </w:r>
            <w:r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takse</w:t>
            </w:r>
            <w:r w:rsidR="000620A0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4235C" w:rsidRPr="00FB36F9">
              <w:rPr>
                <w:sz w:val="22"/>
                <w:szCs w:val="22"/>
                <w:shd w:val="clear" w:color="auto" w:fill="FFFFFF"/>
              </w:rPr>
              <w:t xml:space="preserve">igasugune diskrimineerimine soo, rassi või etnilise päritolu, usutunnistuse või veendumuse, puude, vanuse või seksuaalse </w:t>
            </w:r>
            <w:proofErr w:type="spellStart"/>
            <w:r w:rsidR="00C4235C" w:rsidRPr="00FB36F9">
              <w:rPr>
                <w:sz w:val="22"/>
                <w:szCs w:val="22"/>
                <w:shd w:val="clear" w:color="auto" w:fill="FFFFFF"/>
              </w:rPr>
              <w:t>sättumuse</w:t>
            </w:r>
            <w:proofErr w:type="spellEnd"/>
            <w:r w:rsidR="00C4235C" w:rsidRPr="00FB36F9">
              <w:rPr>
                <w:sz w:val="22"/>
                <w:szCs w:val="22"/>
                <w:shd w:val="clear" w:color="auto" w:fill="FFFFFF"/>
              </w:rPr>
              <w:t xml:space="preserve"> põhjal. Selgitada tuleb </w:t>
            </w:r>
            <w:r w:rsidR="00C4235C" w:rsidRPr="00FB36F9">
              <w:rPr>
                <w:sz w:val="22"/>
                <w:szCs w:val="22"/>
                <w:shd w:val="clear" w:color="auto" w:fill="FFFFFF"/>
              </w:rPr>
              <w:lastRenderedPageBreak/>
              <w:t>ka puuetega inimeste juurdepääsu võimalust.</w:t>
            </w:r>
          </w:p>
        </w:tc>
        <w:tc>
          <w:tcPr>
            <w:tcW w:w="5805" w:type="dxa"/>
          </w:tcPr>
          <w:p w14:paraId="1B7EA32B" w14:textId="781662B3" w:rsidR="00C42678" w:rsidRPr="00FB36F9" w:rsidRDefault="00C42678" w:rsidP="00F54190">
            <w:pPr>
              <w:rPr>
                <w:i/>
                <w:sz w:val="22"/>
                <w:szCs w:val="22"/>
              </w:rPr>
            </w:pPr>
            <w:r w:rsidRPr="00FB36F9">
              <w:rPr>
                <w:i/>
                <w:sz w:val="22"/>
                <w:szCs w:val="22"/>
              </w:rPr>
              <w:lastRenderedPageBreak/>
              <w:t>Iga tegevuse puhul analüüsida, kas on võimalik aidata kaasa võrdsete võimaluste edendamisele või kuidas on välistatud diskrimineerimine</w:t>
            </w:r>
            <w:r w:rsidR="00EB10C5" w:rsidRPr="00FB36F9">
              <w:rPr>
                <w:i/>
                <w:sz w:val="22"/>
                <w:szCs w:val="22"/>
              </w:rPr>
              <w:t>.</w:t>
            </w:r>
          </w:p>
          <w:p w14:paraId="11262F1E" w14:textId="22CEF193" w:rsidR="0002131B" w:rsidRPr="00FB36F9" w:rsidRDefault="0002131B" w:rsidP="00F54190">
            <w:pPr>
              <w:rPr>
                <w:i/>
                <w:sz w:val="22"/>
                <w:szCs w:val="22"/>
              </w:rPr>
            </w:pPr>
            <w:r w:rsidRPr="00FB36F9">
              <w:rPr>
                <w:i/>
                <w:sz w:val="22"/>
                <w:szCs w:val="22"/>
              </w:rPr>
              <w:t>Kindlasti tule</w:t>
            </w:r>
            <w:r w:rsidR="00486E71" w:rsidRPr="00FB36F9">
              <w:rPr>
                <w:i/>
                <w:sz w:val="22"/>
                <w:szCs w:val="22"/>
              </w:rPr>
              <w:t>b</w:t>
            </w:r>
            <w:r w:rsidRPr="00FB36F9">
              <w:rPr>
                <w:i/>
                <w:sz w:val="22"/>
                <w:szCs w:val="22"/>
              </w:rPr>
              <w:t xml:space="preserve"> seda teha koolituste puhul. </w:t>
            </w:r>
          </w:p>
          <w:p w14:paraId="6CB47A44" w14:textId="7E53BC06" w:rsidR="000F60F5" w:rsidRPr="00FB36F9" w:rsidRDefault="00F54190" w:rsidP="00FB36F9">
            <w:pPr>
              <w:rPr>
                <w:i/>
                <w:sz w:val="22"/>
                <w:szCs w:val="22"/>
              </w:rPr>
            </w:pPr>
            <w:r w:rsidRPr="00FB36F9">
              <w:rPr>
                <w:i/>
                <w:sz w:val="22"/>
                <w:szCs w:val="22"/>
              </w:rPr>
              <w:t xml:space="preserve"> </w:t>
            </w:r>
            <w:r w:rsidR="0002131B" w:rsidRPr="00FB36F9">
              <w:rPr>
                <w:i/>
                <w:sz w:val="22"/>
                <w:szCs w:val="22"/>
              </w:rPr>
              <w:t xml:space="preserve">Osadel tegevustel (nt </w:t>
            </w:r>
            <w:r w:rsidRPr="00FB36F9">
              <w:rPr>
                <w:i/>
                <w:sz w:val="22"/>
                <w:szCs w:val="22"/>
              </w:rPr>
              <w:t>tehnika soetamine ja paigaldamine</w:t>
            </w:r>
            <w:r w:rsidR="0002131B" w:rsidRPr="00FB36F9">
              <w:rPr>
                <w:i/>
                <w:sz w:val="22"/>
                <w:szCs w:val="22"/>
              </w:rPr>
              <w:t>)</w:t>
            </w:r>
            <w:r w:rsidRPr="00FB36F9">
              <w:rPr>
                <w:i/>
                <w:sz w:val="22"/>
                <w:szCs w:val="22"/>
              </w:rPr>
              <w:t xml:space="preserve"> </w:t>
            </w:r>
            <w:r w:rsidR="0002131B" w:rsidRPr="00FB36F9">
              <w:rPr>
                <w:i/>
                <w:sz w:val="22"/>
                <w:szCs w:val="22"/>
              </w:rPr>
              <w:t>võib puududa</w:t>
            </w:r>
            <w:r w:rsidRPr="00FB36F9">
              <w:rPr>
                <w:i/>
                <w:sz w:val="22"/>
                <w:szCs w:val="22"/>
              </w:rPr>
              <w:t xml:space="preserve"> otsene mõju võrdsete võimaluste edendamisele. Seos võrdsete võimaluste tagamisega tekib </w:t>
            </w:r>
            <w:r w:rsidR="009C4E8B" w:rsidRPr="00FB36F9">
              <w:rPr>
                <w:i/>
                <w:sz w:val="22"/>
                <w:szCs w:val="22"/>
              </w:rPr>
              <w:t>l</w:t>
            </w:r>
            <w:r w:rsidRPr="00FB36F9">
              <w:rPr>
                <w:i/>
                <w:sz w:val="22"/>
                <w:szCs w:val="22"/>
              </w:rPr>
              <w:t xml:space="preserve">äbi eesmärgi, milleks seadmeid kasutatakse ja nende seadmete abil saadud andmete töötlemise. </w:t>
            </w:r>
            <w:r w:rsidR="00835647" w:rsidRPr="00FB36F9">
              <w:rPr>
                <w:i/>
                <w:sz w:val="22"/>
                <w:szCs w:val="22"/>
              </w:rPr>
              <w:t>S</w:t>
            </w:r>
            <w:r w:rsidR="000620A0" w:rsidRPr="00FB36F9">
              <w:rPr>
                <w:i/>
                <w:sz w:val="22"/>
                <w:szCs w:val="22"/>
              </w:rPr>
              <w:t xml:space="preserve">eadmete soetamise ja kasutamise puhul peab </w:t>
            </w:r>
            <w:r w:rsidR="000620A0" w:rsidRPr="00FB36F9">
              <w:rPr>
                <w:i/>
                <w:sz w:val="22"/>
                <w:szCs w:val="22"/>
              </w:rPr>
              <w:lastRenderedPageBreak/>
              <w:t xml:space="preserve">taotleja kinnitama nende kasutamist kooskõlas EL põhiõiguste hartaga. </w:t>
            </w:r>
            <w:r w:rsidRPr="00FB36F9">
              <w:rPr>
                <w:i/>
                <w:sz w:val="22"/>
                <w:szCs w:val="22"/>
              </w:rPr>
              <w:t>Üldine põhimõte</w:t>
            </w:r>
            <w:r w:rsidR="0002131B" w:rsidRPr="00FB36F9">
              <w:rPr>
                <w:i/>
                <w:sz w:val="22"/>
                <w:szCs w:val="22"/>
              </w:rPr>
              <w:t>,</w:t>
            </w:r>
            <w:r w:rsidRPr="00FB36F9">
              <w:rPr>
                <w:i/>
                <w:sz w:val="22"/>
                <w:szCs w:val="22"/>
              </w:rPr>
              <w:t xml:space="preserve"> mida peaks järgima on, et ühtegi inimest (inimeste gruppi) ei tohiks kohelda teisest halvemini tema soo, vanuse, nahavärvi, etnilise päritolu, puude, usutunnistuse või veendumuste, seksuaalse </w:t>
            </w:r>
            <w:proofErr w:type="spellStart"/>
            <w:r w:rsidRPr="00FB36F9">
              <w:rPr>
                <w:i/>
                <w:sz w:val="22"/>
                <w:szCs w:val="22"/>
              </w:rPr>
              <w:t>sättumuse</w:t>
            </w:r>
            <w:proofErr w:type="spellEnd"/>
            <w:r w:rsidRPr="00FB36F9">
              <w:rPr>
                <w:i/>
                <w:sz w:val="22"/>
                <w:szCs w:val="22"/>
              </w:rPr>
              <w:t xml:space="preserve"> tõttu.  </w:t>
            </w:r>
          </w:p>
        </w:tc>
      </w:tr>
      <w:tr w:rsidR="000620A0" w14:paraId="769167A5" w14:textId="77777777" w:rsidTr="00F75715">
        <w:tblPrEx>
          <w:shd w:val="clear" w:color="auto" w:fill="auto"/>
        </w:tblPrEx>
        <w:tc>
          <w:tcPr>
            <w:tcW w:w="3256" w:type="dxa"/>
          </w:tcPr>
          <w:p w14:paraId="478DDB0E" w14:textId="71FC1077" w:rsidR="000620A0" w:rsidRPr="005D09D6" w:rsidRDefault="00DF6439" w:rsidP="000620A0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lastRenderedPageBreak/>
              <w:t>k</w:t>
            </w:r>
            <w:r w:rsidR="006720F4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uidas tagatakse</w:t>
            </w:r>
            <w:r w:rsidR="000620A0" w:rsidRPr="00FB36F9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tegevuste vastavus ELi keskkonnaalastele õigusaktidele ning kuidas rakendatakse "ei kahjusta oluliselt" põhimõtet</w:t>
            </w:r>
          </w:p>
        </w:tc>
        <w:tc>
          <w:tcPr>
            <w:tcW w:w="5805" w:type="dxa"/>
          </w:tcPr>
          <w:p w14:paraId="2819885F" w14:textId="4A0E3A66" w:rsidR="000620A0" w:rsidRPr="006720F4" w:rsidRDefault="00171E7E" w:rsidP="00F54190">
            <w:pPr>
              <w:rPr>
                <w:i/>
                <w:color w:val="FF0000"/>
                <w:sz w:val="22"/>
                <w:szCs w:val="22"/>
              </w:rPr>
            </w:pPr>
            <w:r w:rsidRPr="00FB36F9">
              <w:rPr>
                <w:i/>
                <w:sz w:val="22"/>
                <w:szCs w:val="22"/>
              </w:rPr>
              <w:t>Kuidas</w:t>
            </w:r>
            <w:r w:rsidRPr="00FB36F9">
              <w:rPr>
                <w:i/>
              </w:rPr>
              <w:t xml:space="preserve"> täidetakse </w:t>
            </w:r>
            <w:hyperlink r:id="rId19" w:history="1">
              <w:r>
                <w:rPr>
                  <w:rStyle w:val="Hyperlink"/>
                  <w:i/>
                  <w:sz w:val="22"/>
                  <w:szCs w:val="22"/>
                </w:rPr>
                <w:t xml:space="preserve">määruse (EL) 2020/852 </w:t>
              </w:r>
            </w:hyperlink>
            <w:r w:rsidRPr="00FB36F9">
              <w:rPr>
                <w:i/>
                <w:sz w:val="22"/>
                <w:szCs w:val="22"/>
              </w:rPr>
              <w:t>"ei kahjusta oluliselt" põhimõtet (st p</w:t>
            </w:r>
            <w:r w:rsidRPr="00FB36F9">
              <w:rPr>
                <w:i/>
              </w:rPr>
              <w:t>rojekti elluviimisel</w:t>
            </w:r>
            <w:r w:rsidRPr="00FB36F9">
              <w:t xml:space="preserve"> </w:t>
            </w:r>
            <w:r w:rsidRPr="00FB36F9">
              <w:rPr>
                <w:i/>
                <w:sz w:val="22"/>
                <w:szCs w:val="22"/>
              </w:rPr>
              <w:t>tagatakse, et määruse artiklis 17 nimetatud olulist kahju ei tekitata ühelegi artiklis 9 sätestatud keskkonnaeesmärgile).</w:t>
            </w:r>
          </w:p>
        </w:tc>
      </w:tr>
      <w:tr w:rsidR="000F60F5" w14:paraId="791FF5FC" w14:textId="77777777" w:rsidTr="00F75715">
        <w:tblPrEx>
          <w:shd w:val="clear" w:color="auto" w:fill="auto"/>
        </w:tblPrEx>
        <w:tc>
          <w:tcPr>
            <w:tcW w:w="3256" w:type="dxa"/>
          </w:tcPr>
          <w:p w14:paraId="7F7F4719" w14:textId="472EA693" w:rsidR="000F60F5" w:rsidRPr="004628E5" w:rsidRDefault="00C4235C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kuidas </w:t>
            </w:r>
            <w:r w:rsidR="004628E5" w:rsidRPr="004628E5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on tagatud, et </w:t>
            </w:r>
            <w:hyperlink r:id="rId20" w:history="1">
              <w:r w:rsidR="004628E5" w:rsidRPr="00704907">
                <w:rPr>
                  <w:rStyle w:val="Hyperlink"/>
                  <w:sz w:val="22"/>
                  <w:szCs w:val="22"/>
                </w:rPr>
                <w:t>Euroopa Parlamendi ja nõukogu direktiivi 2011/92/EL</w:t>
              </w:r>
            </w:hyperlink>
            <w:r w:rsidR="004628E5" w:rsidRPr="004628E5">
              <w:rPr>
                <w:sz w:val="22"/>
                <w:szCs w:val="22"/>
              </w:rPr>
              <w:t xml:space="preserve"> kohaldamisalasse kuuluvate valitud tegevuste suhtes kohaldatakse keskkonnamõju hindamist või sõelumismenetlust ning et on piisavalt arvesse võetud alternatiivsete lahenduste hindamist, võttes aluseks nõuded, mis on sätestatud kõnealuses direktiivis</w:t>
            </w:r>
            <w:r w:rsidR="00BA6C96">
              <w:rPr>
                <w:sz w:val="22"/>
                <w:szCs w:val="22"/>
              </w:rPr>
              <w:t xml:space="preserve"> (kui kohaldub)</w:t>
            </w:r>
            <w:r w:rsidR="004628E5" w:rsidRPr="004628E5">
              <w:rPr>
                <w:sz w:val="22"/>
                <w:szCs w:val="22"/>
              </w:rPr>
              <w:t>;</w:t>
            </w:r>
          </w:p>
        </w:tc>
        <w:tc>
          <w:tcPr>
            <w:tcW w:w="5805" w:type="dxa"/>
          </w:tcPr>
          <w:p w14:paraId="2581D91C" w14:textId="77777777" w:rsidR="00704907" w:rsidRDefault="00704907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</w:pPr>
          </w:p>
          <w:p w14:paraId="50D7929A" w14:textId="5CB51642" w:rsidR="000F60F5" w:rsidRPr="00704907" w:rsidRDefault="00704907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i/>
                <w:kern w:val="0"/>
                <w:sz w:val="22"/>
                <w:szCs w:val="22"/>
                <w:lang w:eastAsia="en-US" w:bidi="ar-SA"/>
              </w:rPr>
              <w:t xml:space="preserve">Vt ka </w:t>
            </w:r>
            <w:hyperlink r:id="rId21" w:history="1">
              <w:r w:rsidRPr="00704907">
                <w:rPr>
                  <w:rStyle w:val="Hyperlink"/>
                  <w:rFonts w:eastAsia="Times New Roman"/>
                  <w:i/>
                  <w:kern w:val="0"/>
                  <w:sz w:val="22"/>
                  <w:szCs w:val="22"/>
                  <w:lang w:eastAsia="en-US" w:bidi="ar-SA"/>
                </w:rPr>
                <w:t>Keskkonnamõju hindamise ja keskkonnajuhtimissüsteemi seadus</w:t>
              </w:r>
            </w:hyperlink>
          </w:p>
        </w:tc>
      </w:tr>
      <w:tr w:rsidR="004628E5" w14:paraId="0EF9B35D" w14:textId="77777777" w:rsidTr="00F75715">
        <w:tblPrEx>
          <w:shd w:val="clear" w:color="auto" w:fill="auto"/>
        </w:tblPrEx>
        <w:tc>
          <w:tcPr>
            <w:tcW w:w="3256" w:type="dxa"/>
          </w:tcPr>
          <w:p w14:paraId="433C819C" w14:textId="50F4E9CA" w:rsidR="004628E5" w:rsidRPr="004628E5" w:rsidRDefault="005D09D6" w:rsidP="00F72013">
            <w:pPr>
              <w:widowControl/>
              <w:suppressAutoHyphens w:val="0"/>
              <w:spacing w:line="240" w:lineRule="auto"/>
              <w:contextualSpacing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kuidas </w:t>
            </w:r>
            <w:r w:rsidR="00DD330A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on tagatud selliste taristuinvesteeringute kliimakindlus, mille eeldatav kestvus on vähemalt 5 aastat</w:t>
            </w:r>
            <w:r w:rsidR="00BA6C96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 xml:space="preserve"> (kui kohaldub)</w:t>
            </w:r>
          </w:p>
        </w:tc>
        <w:tc>
          <w:tcPr>
            <w:tcW w:w="5805" w:type="dxa"/>
          </w:tcPr>
          <w:p w14:paraId="23528461" w14:textId="135FFAD1" w:rsidR="001A79FF" w:rsidRPr="00A25AFA" w:rsidRDefault="001A79FF" w:rsidP="001A79FF">
            <w:pPr>
              <w:rPr>
                <w:i/>
                <w:sz w:val="22"/>
                <w:szCs w:val="22"/>
              </w:rPr>
            </w:pPr>
            <w:r w:rsidRPr="00A25AFA">
              <w:rPr>
                <w:i/>
                <w:sz w:val="22"/>
                <w:szCs w:val="22"/>
              </w:rPr>
              <w:t xml:space="preserve">Komisjoni teatis – </w:t>
            </w:r>
            <w:hyperlink r:id="rId22" w:history="1">
              <w:r w:rsidRPr="00A25AFA">
                <w:rPr>
                  <w:rStyle w:val="Hyperlink"/>
                  <w:i/>
                  <w:sz w:val="22"/>
                  <w:szCs w:val="22"/>
                </w:rPr>
                <w:t>Taristu kliimakindluse tagamiseks tehnilised suunised aastateks 2021-2027 C/2021/5430</w:t>
              </w:r>
            </w:hyperlink>
            <w:r w:rsidRPr="00A25AFA">
              <w:rPr>
                <w:i/>
                <w:sz w:val="22"/>
                <w:szCs w:val="22"/>
              </w:rPr>
              <w:t xml:space="preserve"> </w:t>
            </w:r>
          </w:p>
          <w:p w14:paraId="0345271A" w14:textId="68821792" w:rsidR="004628E5" w:rsidRPr="001A79FF" w:rsidRDefault="004628E5" w:rsidP="001A79FF">
            <w:pPr>
              <w:widowControl/>
              <w:suppressAutoHyphens w:val="0"/>
              <w:spacing w:line="240" w:lineRule="auto"/>
              <w:contextualSpacing/>
            </w:pPr>
          </w:p>
        </w:tc>
      </w:tr>
    </w:tbl>
    <w:p w14:paraId="5D7B7A97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p w14:paraId="66316FE0" w14:textId="5793C509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E2DA1DD" w14:textId="77777777" w:rsidTr="00E15602">
        <w:tc>
          <w:tcPr>
            <w:tcW w:w="5000" w:type="pct"/>
            <w:shd w:val="clear" w:color="auto" w:fill="8DB3E2" w:themeFill="text2" w:themeFillTint="66"/>
          </w:tcPr>
          <w:p w14:paraId="119DC6C2" w14:textId="77777777" w:rsidR="00F72013" w:rsidRPr="007862A0" w:rsidRDefault="00F72013" w:rsidP="00E1560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6CDEC6E8" w14:textId="77777777" w:rsidR="00F72013" w:rsidRPr="007862A0" w:rsidRDefault="00F72013" w:rsidP="00E15602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IV TAOTLUSE KINNITAMINE</w:t>
            </w:r>
          </w:p>
          <w:p w14:paraId="3981A898" w14:textId="77777777" w:rsidR="00F72013" w:rsidRPr="007862A0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  <w:tr w:rsidR="00F72013" w:rsidRPr="00F04913" w14:paraId="64EE3BAD" w14:textId="77777777" w:rsidTr="00E15602">
        <w:tblPrEx>
          <w:shd w:val="clear" w:color="auto" w:fill="auto"/>
        </w:tblPrEx>
        <w:tc>
          <w:tcPr>
            <w:tcW w:w="5000" w:type="pct"/>
          </w:tcPr>
          <w:p w14:paraId="7047A725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7E42D82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  <w:t>Taotluse allkirjastamisega kinnitan, et:</w:t>
            </w:r>
          </w:p>
          <w:p w14:paraId="394446EC" w14:textId="10201FA4" w:rsidR="006720F4" w:rsidRPr="00FB36F9" w:rsidRDefault="00835647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B36F9">
              <w:rPr>
                <w:bCs/>
                <w:sz w:val="22"/>
                <w:szCs w:val="22"/>
              </w:rPr>
              <w:t>p</w:t>
            </w:r>
            <w:r w:rsidR="00CE2DC1" w:rsidRPr="00FB36F9">
              <w:rPr>
                <w:bCs/>
                <w:sz w:val="22"/>
                <w:szCs w:val="22"/>
              </w:rPr>
              <w:t>rojekti</w:t>
            </w:r>
            <w:r w:rsidR="006720F4" w:rsidRPr="00FB36F9">
              <w:rPr>
                <w:bCs/>
                <w:sz w:val="22"/>
                <w:szCs w:val="22"/>
              </w:rPr>
              <w:t xml:space="preserve"> viiakse ellu kooskõlas EL</w:t>
            </w:r>
            <w:r w:rsidRPr="00FB36F9">
              <w:rPr>
                <w:bCs/>
                <w:sz w:val="22"/>
                <w:szCs w:val="22"/>
              </w:rPr>
              <w:t>i</w:t>
            </w:r>
            <w:r w:rsidR="006720F4" w:rsidRPr="00FB36F9">
              <w:rPr>
                <w:bCs/>
                <w:sz w:val="22"/>
                <w:szCs w:val="22"/>
              </w:rPr>
              <w:t xml:space="preserve"> põhiõigust</w:t>
            </w:r>
            <w:r w:rsidRPr="00FB36F9">
              <w:rPr>
                <w:bCs/>
                <w:sz w:val="22"/>
                <w:szCs w:val="22"/>
              </w:rPr>
              <w:t>e</w:t>
            </w:r>
            <w:r w:rsidR="006720F4" w:rsidRPr="00FB36F9">
              <w:rPr>
                <w:bCs/>
                <w:sz w:val="22"/>
                <w:szCs w:val="22"/>
              </w:rPr>
              <w:t xml:space="preserve"> hartaga</w:t>
            </w:r>
            <w:r w:rsidRPr="00FB36F9">
              <w:rPr>
                <w:bCs/>
                <w:sz w:val="22"/>
                <w:szCs w:val="22"/>
              </w:rPr>
              <w:t>;</w:t>
            </w:r>
          </w:p>
          <w:p w14:paraId="2DE7E8CF" w14:textId="3B6AA361" w:rsidR="006720F4" w:rsidRPr="00FB36F9" w:rsidRDefault="00835647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B36F9">
              <w:rPr>
                <w:bCs/>
                <w:sz w:val="22"/>
                <w:szCs w:val="22"/>
              </w:rPr>
              <w:t>p</w:t>
            </w:r>
            <w:r w:rsidR="00CE2DC1" w:rsidRPr="00FB36F9">
              <w:rPr>
                <w:bCs/>
                <w:sz w:val="22"/>
                <w:szCs w:val="22"/>
              </w:rPr>
              <w:t>rojekti</w:t>
            </w:r>
            <w:r w:rsidR="006720F4" w:rsidRPr="00FB36F9">
              <w:rPr>
                <w:bCs/>
                <w:sz w:val="22"/>
                <w:szCs w:val="22"/>
              </w:rPr>
              <w:t xml:space="preserve"> viiakse ellu võttes arvesse ja edendades soolist võrdõiguslikkust, soolise aspekti arvestamist ning sooküsimuste lõimimist</w:t>
            </w:r>
            <w:r w:rsidR="00CE2DC1" w:rsidRPr="00FB36F9">
              <w:rPr>
                <w:bCs/>
                <w:sz w:val="22"/>
                <w:szCs w:val="22"/>
              </w:rPr>
              <w:t>;</w:t>
            </w:r>
          </w:p>
          <w:p w14:paraId="2A9F8181" w14:textId="050AA10D" w:rsidR="00CE2DC1" w:rsidRPr="00FB36F9" w:rsidRDefault="00835647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B36F9">
              <w:rPr>
                <w:bCs/>
                <w:sz w:val="22"/>
                <w:szCs w:val="22"/>
              </w:rPr>
              <w:t>p</w:t>
            </w:r>
            <w:r w:rsidR="00CE2DC1" w:rsidRPr="00FB36F9">
              <w:rPr>
                <w:bCs/>
                <w:sz w:val="22"/>
                <w:szCs w:val="22"/>
              </w:rPr>
              <w:t>rojekti viiakse ellu tagades diskrimineerimise vältimine ja ligipääsetavus ning vastavus EL</w:t>
            </w:r>
            <w:r w:rsidRPr="00FB36F9">
              <w:rPr>
                <w:bCs/>
                <w:sz w:val="22"/>
                <w:szCs w:val="22"/>
              </w:rPr>
              <w:t>i</w:t>
            </w:r>
            <w:r w:rsidR="00CE2DC1" w:rsidRPr="00FB36F9">
              <w:rPr>
                <w:bCs/>
                <w:sz w:val="22"/>
                <w:szCs w:val="22"/>
              </w:rPr>
              <w:t xml:space="preserve"> keskkonnaalastele õigusaktidele;</w:t>
            </w:r>
          </w:p>
          <w:p w14:paraId="243079A2" w14:textId="0768C26A" w:rsidR="00CE2DC1" w:rsidRPr="00FB36F9" w:rsidRDefault="00835647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B36F9">
              <w:rPr>
                <w:bCs/>
                <w:sz w:val="22"/>
                <w:szCs w:val="22"/>
              </w:rPr>
              <w:t>p</w:t>
            </w:r>
            <w:r w:rsidR="00CE2DC1" w:rsidRPr="00FB36F9">
              <w:rPr>
                <w:bCs/>
                <w:sz w:val="22"/>
                <w:szCs w:val="22"/>
              </w:rPr>
              <w:t>rojekti viiakse ellu "ei kahjusta oluliselt" põhimõtte kohaselt</w:t>
            </w:r>
            <w:r w:rsidRPr="00FB36F9">
              <w:rPr>
                <w:bCs/>
                <w:sz w:val="22"/>
                <w:szCs w:val="22"/>
              </w:rPr>
              <w:t>;</w:t>
            </w:r>
          </w:p>
          <w:p w14:paraId="57B27977" w14:textId="285A5E7F" w:rsidR="00F72013" w:rsidRPr="00FB36F9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B36F9">
              <w:rPr>
                <w:bCs/>
                <w:sz w:val="22"/>
                <w:szCs w:val="22"/>
              </w:rPr>
              <w:t>taotluses ning selle lisades esitatud andmed on õiged;</w:t>
            </w:r>
          </w:p>
          <w:p w14:paraId="7059A665" w14:textId="48AF46C5" w:rsidR="00C42678" w:rsidRPr="00F04913" w:rsidRDefault="00C42678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tegevustega ei ole alustatud enne </w:t>
            </w:r>
            <w:r w:rsidR="00A24066">
              <w:rPr>
                <w:bCs/>
                <w:sz w:val="22"/>
                <w:szCs w:val="22"/>
              </w:rPr>
              <w:t>projektit</w:t>
            </w:r>
            <w:r>
              <w:rPr>
                <w:bCs/>
                <w:sz w:val="22"/>
                <w:szCs w:val="22"/>
              </w:rPr>
              <w:t>aotluse korraldusasutusele esitamist;</w:t>
            </w:r>
          </w:p>
          <w:p w14:paraId="6A3A65F9" w14:textId="77777777" w:rsidR="00F72013" w:rsidRPr="00F049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04913">
              <w:rPr>
                <w:sz w:val="22"/>
                <w:szCs w:val="22"/>
              </w:rPr>
              <w:t>tagan toetuse eesmärgipärase kasutamise kooskõlas sõlmitava toetuslepingu, Eesti Vabariigi ja Euroopa Liidu õigusaktide ning juhenditega ja toetuse kasutamise nähtavuse;</w:t>
            </w:r>
          </w:p>
          <w:p w14:paraId="5D66FBAA" w14:textId="5BB84292" w:rsidR="00F72013" w:rsidRPr="00F049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04913">
              <w:rPr>
                <w:sz w:val="22"/>
                <w:szCs w:val="22"/>
              </w:rPr>
              <w:t>tagan projekti mittetulundusliku iseloomu;</w:t>
            </w:r>
          </w:p>
          <w:p w14:paraId="52D18C69" w14:textId="0BDFF249" w:rsidR="00F72013" w:rsidRPr="00F049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  <w:sz w:val="22"/>
                <w:szCs w:val="22"/>
              </w:rPr>
            </w:pPr>
            <w:r w:rsidRPr="00F04913">
              <w:rPr>
                <w:bCs/>
                <w:sz w:val="22"/>
                <w:szCs w:val="22"/>
              </w:rPr>
              <w:t>taotluses toodud tegevusi ja kulusid ei rahastata teistest allikatest (sh teistest EL-i fondidest või programmidest);</w:t>
            </w:r>
          </w:p>
          <w:p w14:paraId="20B7F97E" w14:textId="3D653B50" w:rsidR="00C42678" w:rsidRPr="00EB10C5" w:rsidRDefault="00F72013" w:rsidP="00A2406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F04913">
              <w:rPr>
                <w:sz w:val="22"/>
                <w:szCs w:val="22"/>
              </w:rPr>
              <w:t>olen teadlik, et taotluse heakskiitmisel avalikustatakse toetuse saaja ja projekti nimi,  projekti eesmärk ning eraldatud avaliku sektori ja  Euroopa Liidu toetuse suurus</w:t>
            </w:r>
            <w:r w:rsidR="00B7535E">
              <w:rPr>
                <w:sz w:val="22"/>
                <w:szCs w:val="22"/>
              </w:rPr>
              <w:t>;</w:t>
            </w:r>
          </w:p>
          <w:p w14:paraId="4C048850" w14:textId="189FB7C2" w:rsidR="00B7535E" w:rsidRPr="00F04913" w:rsidRDefault="00B7535E" w:rsidP="00A2406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olen teadlik, et </w:t>
            </w:r>
            <w:r w:rsidRPr="00B7535E">
              <w:rPr>
                <w:b/>
                <w:bCs/>
                <w:sz w:val="22"/>
                <w:szCs w:val="22"/>
                <w:u w:val="single"/>
              </w:rPr>
              <w:t>k</w:t>
            </w:r>
            <w:r w:rsidRPr="00B7535E">
              <w:rPr>
                <w:b/>
                <w:color w:val="000000"/>
                <w:sz w:val="22"/>
                <w:szCs w:val="22"/>
                <w:u w:val="single"/>
                <w:lang w:eastAsia="et-EE"/>
              </w:rPr>
              <w:t xml:space="preserve">äibemaks </w:t>
            </w:r>
            <w:r w:rsidRPr="00F04913">
              <w:rPr>
                <w:color w:val="000000"/>
                <w:sz w:val="22"/>
                <w:szCs w:val="22"/>
                <w:lang w:eastAsia="et-EE"/>
              </w:rPr>
              <w:t xml:space="preserve">on abikõlbmatu, kui Eesti taotleja/toetuse saaja projekti planeeritud kulud ületavad 5 mln eurot ning käibemaksuseaduse järgi on käibemaks tagasi nõutav (vastavalt </w:t>
            </w:r>
            <w:hyperlink r:id="rId23" w:history="1">
              <w:r w:rsidRPr="00F04913">
                <w:rPr>
                  <w:rStyle w:val="Hyperlink"/>
                  <w:bCs/>
                  <w:sz w:val="22"/>
                  <w:szCs w:val="22"/>
                </w:rPr>
                <w:t xml:space="preserve">Euroopa Parlamendi ja nõukogu määruse </w:t>
              </w:r>
              <w:r w:rsidRPr="00F04913">
                <w:rPr>
                  <w:rStyle w:val="Hyperlink"/>
                  <w:sz w:val="22"/>
                  <w:szCs w:val="22"/>
                </w:rPr>
                <w:t>(EL) 2021/1060</w:t>
              </w:r>
            </w:hyperlink>
            <w:r w:rsidRPr="00F04913">
              <w:rPr>
                <w:color w:val="000000"/>
                <w:sz w:val="22"/>
                <w:szCs w:val="22"/>
              </w:rPr>
              <w:t xml:space="preserve"> </w:t>
            </w:r>
            <w:r w:rsidRPr="00F04913">
              <w:rPr>
                <w:color w:val="000000"/>
                <w:sz w:val="22"/>
                <w:szCs w:val="22"/>
                <w:lang w:eastAsia="et-EE"/>
              </w:rPr>
              <w:t xml:space="preserve"> art 2 lg 4 p a ja art 64 lg 1 p c alapunktid i ja ii).</w:t>
            </w:r>
          </w:p>
        </w:tc>
      </w:tr>
    </w:tbl>
    <w:p w14:paraId="415403D9" w14:textId="77777777" w:rsidR="00B7535E" w:rsidRPr="00F04913" w:rsidRDefault="00B7535E" w:rsidP="00B7535E">
      <w:pPr>
        <w:widowControl/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n-US" w:bidi="ar-SA"/>
        </w:rPr>
      </w:pPr>
    </w:p>
    <w:p w14:paraId="6E21620C" w14:textId="77777777" w:rsidR="00A70470" w:rsidRPr="00F04913" w:rsidRDefault="00A70470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2"/>
          <w:szCs w:val="22"/>
          <w:lang w:eastAsia="en-US" w:bidi="ar-SA"/>
        </w:rPr>
      </w:pPr>
    </w:p>
    <w:p w14:paraId="3D806D6C" w14:textId="0C4C81EF" w:rsidR="00F72013" w:rsidRPr="00F049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2"/>
          <w:szCs w:val="22"/>
          <w:lang w:eastAsia="en-US" w:bidi="ar-SA"/>
        </w:rPr>
      </w:pPr>
      <w:r w:rsidRPr="00F04913">
        <w:rPr>
          <w:rFonts w:eastAsia="Times New Roman"/>
          <w:b/>
          <w:bCs/>
          <w:kern w:val="0"/>
          <w:sz w:val="22"/>
          <w:szCs w:val="22"/>
          <w:lang w:eastAsia="en-US" w:bidi="ar-SA"/>
        </w:rPr>
        <w:t>Taotleja organisatsiooni allkirjaõigusliku isiku allkiri:</w:t>
      </w:r>
    </w:p>
    <w:p w14:paraId="2FB9962A" w14:textId="5EB9D4DB" w:rsidR="00F72013" w:rsidRPr="00F04913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2"/>
          <w:szCs w:val="22"/>
          <w:lang w:eastAsia="en-US" w:bidi="ar-SA"/>
        </w:rPr>
      </w:pPr>
      <w:r w:rsidRPr="00F04913">
        <w:rPr>
          <w:rFonts w:eastAsia="Times New Roman"/>
          <w:bCs/>
          <w:i/>
          <w:kern w:val="0"/>
          <w:sz w:val="22"/>
          <w:szCs w:val="22"/>
          <w:lang w:eastAsia="en-US" w:bidi="ar-SA"/>
        </w:rPr>
        <w:t xml:space="preserve">Taotleja võtab endale taotlust allkirjastades kohustuse positiivse rahastamise otsuse korral projekt vastavalt seatud tingimustele ellu viia.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35"/>
      </w:tblGrid>
      <w:tr w:rsidR="00F72013" w:rsidRPr="00F04913" w14:paraId="39805366" w14:textId="77777777" w:rsidTr="00E15602">
        <w:tc>
          <w:tcPr>
            <w:tcW w:w="1394" w:type="pct"/>
            <w:shd w:val="clear" w:color="auto" w:fill="E6E6E6"/>
          </w:tcPr>
          <w:p w14:paraId="7DC293A9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Ees- ja perekonnanimi</w:t>
            </w:r>
          </w:p>
        </w:tc>
        <w:tc>
          <w:tcPr>
            <w:tcW w:w="3606" w:type="pct"/>
          </w:tcPr>
          <w:p w14:paraId="2CA7B966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22360EE9" w14:textId="77777777" w:rsidTr="00E15602">
        <w:tc>
          <w:tcPr>
            <w:tcW w:w="1394" w:type="pct"/>
            <w:shd w:val="clear" w:color="auto" w:fill="E6E6E6"/>
          </w:tcPr>
          <w:p w14:paraId="0B0C45A0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  <w:t>Ametikoht</w:t>
            </w:r>
          </w:p>
        </w:tc>
        <w:tc>
          <w:tcPr>
            <w:tcW w:w="3606" w:type="pct"/>
          </w:tcPr>
          <w:p w14:paraId="70D7CF3B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5DE1A457" w14:textId="77777777" w:rsidTr="00E15602">
        <w:tc>
          <w:tcPr>
            <w:tcW w:w="1394" w:type="pct"/>
            <w:shd w:val="clear" w:color="auto" w:fill="E6E6E6"/>
          </w:tcPr>
          <w:p w14:paraId="0EE6B985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  <w:t>Allkiri</w:t>
            </w:r>
          </w:p>
        </w:tc>
        <w:tc>
          <w:tcPr>
            <w:tcW w:w="3606" w:type="pct"/>
          </w:tcPr>
          <w:p w14:paraId="4467D19F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72013" w:rsidRPr="00F04913" w14:paraId="3E0C4AF8" w14:textId="77777777" w:rsidTr="00E15602">
        <w:tc>
          <w:tcPr>
            <w:tcW w:w="1394" w:type="pct"/>
            <w:shd w:val="clear" w:color="auto" w:fill="E6E6E6"/>
          </w:tcPr>
          <w:p w14:paraId="346A86CE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04913"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Kuupäev</w:t>
            </w:r>
          </w:p>
        </w:tc>
        <w:tc>
          <w:tcPr>
            <w:tcW w:w="3606" w:type="pct"/>
          </w:tcPr>
          <w:p w14:paraId="75C26792" w14:textId="77777777" w:rsidR="00F72013" w:rsidRPr="00F04913" w:rsidRDefault="00F72013" w:rsidP="00E15602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ABC0DD6" w14:textId="4B6BB930" w:rsidR="00297EA6" w:rsidRPr="00F04913" w:rsidRDefault="00297EA6" w:rsidP="00704907">
      <w:pPr>
        <w:widowControl/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n-US" w:bidi="ar-SA"/>
        </w:rPr>
      </w:pPr>
    </w:p>
    <w:sectPr w:rsidR="00297EA6" w:rsidRPr="00F04913" w:rsidSect="00A14D83">
      <w:headerReference w:type="default" r:id="rId2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D542C" w14:textId="77777777" w:rsidR="001040B2" w:rsidRDefault="001040B2" w:rsidP="00DF44DF">
      <w:r>
        <w:separator/>
      </w:r>
    </w:p>
  </w:endnote>
  <w:endnote w:type="continuationSeparator" w:id="0">
    <w:p w14:paraId="71963831" w14:textId="77777777" w:rsidR="001040B2" w:rsidRDefault="001040B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7B19" w14:textId="77777777" w:rsidR="001040B2" w:rsidRDefault="001040B2" w:rsidP="00DF44DF">
      <w:r>
        <w:separator/>
      </w:r>
    </w:p>
  </w:footnote>
  <w:footnote w:type="continuationSeparator" w:id="0">
    <w:p w14:paraId="2FB41869" w14:textId="77777777" w:rsidR="001040B2" w:rsidRDefault="001040B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3171" w14:textId="77777777" w:rsidR="00E15602" w:rsidRDefault="00E15602" w:rsidP="00110BCA">
    <w:pPr>
      <w:pStyle w:val="Jalus1"/>
      <w:jc w:val="center"/>
    </w:pPr>
  </w:p>
  <w:p w14:paraId="5C3B3172" w14:textId="77777777" w:rsidR="00E15602" w:rsidRDefault="00E15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7EE"/>
    <w:multiLevelType w:val="multilevel"/>
    <w:tmpl w:val="8E2A8552"/>
    <w:lvl w:ilvl="0">
      <w:start w:val="4"/>
      <w:numFmt w:val="decimal"/>
      <w:lvlText w:val="%1"/>
      <w:lvlJc w:val="left"/>
      <w:pPr>
        <w:ind w:left="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  <w:sz w:val="22"/>
      </w:rPr>
    </w:lvl>
  </w:abstractNum>
  <w:abstractNum w:abstractNumId="1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22A"/>
    <w:multiLevelType w:val="multilevel"/>
    <w:tmpl w:val="46B288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13332"/>
    <w:multiLevelType w:val="hybridMultilevel"/>
    <w:tmpl w:val="40A8DDE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213FF3"/>
    <w:multiLevelType w:val="hybridMultilevel"/>
    <w:tmpl w:val="852EA99A"/>
    <w:lvl w:ilvl="0" w:tplc="001A4340">
      <w:start w:val="16"/>
      <w:numFmt w:val="decimal"/>
      <w:pStyle w:val="AK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6E80"/>
    <w:multiLevelType w:val="multilevel"/>
    <w:tmpl w:val="ED940A9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70D386E"/>
    <w:multiLevelType w:val="hybridMultilevel"/>
    <w:tmpl w:val="3CA87764"/>
    <w:lvl w:ilvl="0" w:tplc="ADA4DC3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FB042D"/>
    <w:multiLevelType w:val="multilevel"/>
    <w:tmpl w:val="0D20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3C47223"/>
    <w:multiLevelType w:val="hybridMultilevel"/>
    <w:tmpl w:val="97344D22"/>
    <w:lvl w:ilvl="0" w:tplc="1D9E84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87D1B"/>
    <w:multiLevelType w:val="hybridMultilevel"/>
    <w:tmpl w:val="8BC6A4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C88"/>
    <w:rsid w:val="0002131B"/>
    <w:rsid w:val="0004665A"/>
    <w:rsid w:val="00060947"/>
    <w:rsid w:val="000620A0"/>
    <w:rsid w:val="00073127"/>
    <w:rsid w:val="000913FC"/>
    <w:rsid w:val="000A12C1"/>
    <w:rsid w:val="000C1E97"/>
    <w:rsid w:val="000E4F8D"/>
    <w:rsid w:val="000F5BE7"/>
    <w:rsid w:val="000F60F5"/>
    <w:rsid w:val="001040B2"/>
    <w:rsid w:val="00110BCA"/>
    <w:rsid w:val="00124999"/>
    <w:rsid w:val="00135533"/>
    <w:rsid w:val="00171E7E"/>
    <w:rsid w:val="001A0F8B"/>
    <w:rsid w:val="001A4260"/>
    <w:rsid w:val="001A79FF"/>
    <w:rsid w:val="001A7D04"/>
    <w:rsid w:val="001B434F"/>
    <w:rsid w:val="001C1AB4"/>
    <w:rsid w:val="001D4CFB"/>
    <w:rsid w:val="002008A2"/>
    <w:rsid w:val="0022269C"/>
    <w:rsid w:val="00234915"/>
    <w:rsid w:val="0026456A"/>
    <w:rsid w:val="00276101"/>
    <w:rsid w:val="002835BB"/>
    <w:rsid w:val="00293449"/>
    <w:rsid w:val="00297EA6"/>
    <w:rsid w:val="002A157F"/>
    <w:rsid w:val="002A7914"/>
    <w:rsid w:val="002F254F"/>
    <w:rsid w:val="00320035"/>
    <w:rsid w:val="00354059"/>
    <w:rsid w:val="00394DCB"/>
    <w:rsid w:val="003A0707"/>
    <w:rsid w:val="003A51A4"/>
    <w:rsid w:val="003B2A9C"/>
    <w:rsid w:val="003C1CB0"/>
    <w:rsid w:val="003C57BB"/>
    <w:rsid w:val="003D76F1"/>
    <w:rsid w:val="003E1551"/>
    <w:rsid w:val="003F0919"/>
    <w:rsid w:val="003F6697"/>
    <w:rsid w:val="004110BE"/>
    <w:rsid w:val="00415A08"/>
    <w:rsid w:val="00422A99"/>
    <w:rsid w:val="00435A13"/>
    <w:rsid w:val="0044084D"/>
    <w:rsid w:val="004628E5"/>
    <w:rsid w:val="00486E71"/>
    <w:rsid w:val="004A31F4"/>
    <w:rsid w:val="004A3512"/>
    <w:rsid w:val="004C1391"/>
    <w:rsid w:val="004C4C79"/>
    <w:rsid w:val="0050252A"/>
    <w:rsid w:val="00546204"/>
    <w:rsid w:val="00551E24"/>
    <w:rsid w:val="00554DBE"/>
    <w:rsid w:val="00555108"/>
    <w:rsid w:val="00557534"/>
    <w:rsid w:val="00560A92"/>
    <w:rsid w:val="0056160C"/>
    <w:rsid w:val="00564569"/>
    <w:rsid w:val="00566D45"/>
    <w:rsid w:val="00581916"/>
    <w:rsid w:val="005927C1"/>
    <w:rsid w:val="005955FF"/>
    <w:rsid w:val="005B5CE1"/>
    <w:rsid w:val="005B7641"/>
    <w:rsid w:val="005D09D6"/>
    <w:rsid w:val="005D7CD9"/>
    <w:rsid w:val="005E3AED"/>
    <w:rsid w:val="005E45BB"/>
    <w:rsid w:val="00602834"/>
    <w:rsid w:val="00662597"/>
    <w:rsid w:val="006720F4"/>
    <w:rsid w:val="00680609"/>
    <w:rsid w:val="006A3FCD"/>
    <w:rsid w:val="006D1BCC"/>
    <w:rsid w:val="006E16BD"/>
    <w:rsid w:val="006F3BB9"/>
    <w:rsid w:val="006F72D7"/>
    <w:rsid w:val="006F7EC4"/>
    <w:rsid w:val="0070355B"/>
    <w:rsid w:val="00704907"/>
    <w:rsid w:val="007056E1"/>
    <w:rsid w:val="0070684C"/>
    <w:rsid w:val="00713327"/>
    <w:rsid w:val="00722736"/>
    <w:rsid w:val="0075695A"/>
    <w:rsid w:val="0076054B"/>
    <w:rsid w:val="00767A6E"/>
    <w:rsid w:val="00784A92"/>
    <w:rsid w:val="00793A3C"/>
    <w:rsid w:val="00795741"/>
    <w:rsid w:val="007A1DE8"/>
    <w:rsid w:val="007C3064"/>
    <w:rsid w:val="007D2BF1"/>
    <w:rsid w:val="007D54FC"/>
    <w:rsid w:val="007E5FBE"/>
    <w:rsid w:val="007F55B0"/>
    <w:rsid w:val="007F7352"/>
    <w:rsid w:val="008145F3"/>
    <w:rsid w:val="00816877"/>
    <w:rsid w:val="00835647"/>
    <w:rsid w:val="00835858"/>
    <w:rsid w:val="00843E5B"/>
    <w:rsid w:val="0084562D"/>
    <w:rsid w:val="008518ED"/>
    <w:rsid w:val="00883C30"/>
    <w:rsid w:val="008919F2"/>
    <w:rsid w:val="0089276C"/>
    <w:rsid w:val="0089634B"/>
    <w:rsid w:val="008B2E9D"/>
    <w:rsid w:val="008B56D1"/>
    <w:rsid w:val="008D4634"/>
    <w:rsid w:val="008F0B50"/>
    <w:rsid w:val="00903BD9"/>
    <w:rsid w:val="0091786B"/>
    <w:rsid w:val="00932CDE"/>
    <w:rsid w:val="009356BC"/>
    <w:rsid w:val="009370A4"/>
    <w:rsid w:val="009709A8"/>
    <w:rsid w:val="00976F7E"/>
    <w:rsid w:val="00990712"/>
    <w:rsid w:val="009B2CB2"/>
    <w:rsid w:val="009C4E8B"/>
    <w:rsid w:val="009D60F8"/>
    <w:rsid w:val="009E7F4A"/>
    <w:rsid w:val="00A10E66"/>
    <w:rsid w:val="00A1244E"/>
    <w:rsid w:val="00A14D83"/>
    <w:rsid w:val="00A24066"/>
    <w:rsid w:val="00A25AFA"/>
    <w:rsid w:val="00A35E6D"/>
    <w:rsid w:val="00A43B6D"/>
    <w:rsid w:val="00A5019D"/>
    <w:rsid w:val="00A70470"/>
    <w:rsid w:val="00A93D72"/>
    <w:rsid w:val="00AA0D8E"/>
    <w:rsid w:val="00AC536F"/>
    <w:rsid w:val="00AD2EA7"/>
    <w:rsid w:val="00AE7DDE"/>
    <w:rsid w:val="00AF32DB"/>
    <w:rsid w:val="00B12336"/>
    <w:rsid w:val="00B37771"/>
    <w:rsid w:val="00B47F8D"/>
    <w:rsid w:val="00B521B0"/>
    <w:rsid w:val="00B7535E"/>
    <w:rsid w:val="00B80FA4"/>
    <w:rsid w:val="00B81632"/>
    <w:rsid w:val="00BA6C96"/>
    <w:rsid w:val="00BC1A62"/>
    <w:rsid w:val="00BD078E"/>
    <w:rsid w:val="00BD16C4"/>
    <w:rsid w:val="00BD3CCF"/>
    <w:rsid w:val="00BF4D7C"/>
    <w:rsid w:val="00C110FE"/>
    <w:rsid w:val="00C24F66"/>
    <w:rsid w:val="00C27B07"/>
    <w:rsid w:val="00C34F5F"/>
    <w:rsid w:val="00C375BA"/>
    <w:rsid w:val="00C41FC5"/>
    <w:rsid w:val="00C4235C"/>
    <w:rsid w:val="00C42678"/>
    <w:rsid w:val="00C83346"/>
    <w:rsid w:val="00C90E39"/>
    <w:rsid w:val="00CA583B"/>
    <w:rsid w:val="00CA5F0B"/>
    <w:rsid w:val="00CA67DB"/>
    <w:rsid w:val="00CB2962"/>
    <w:rsid w:val="00CB5CF9"/>
    <w:rsid w:val="00CD3713"/>
    <w:rsid w:val="00CD3A9E"/>
    <w:rsid w:val="00CE2DC1"/>
    <w:rsid w:val="00CF2B77"/>
    <w:rsid w:val="00CF4303"/>
    <w:rsid w:val="00D16469"/>
    <w:rsid w:val="00D2055D"/>
    <w:rsid w:val="00D33101"/>
    <w:rsid w:val="00D40650"/>
    <w:rsid w:val="00D559F8"/>
    <w:rsid w:val="00D8202D"/>
    <w:rsid w:val="00D82747"/>
    <w:rsid w:val="00D867D5"/>
    <w:rsid w:val="00DB573E"/>
    <w:rsid w:val="00DD0C08"/>
    <w:rsid w:val="00DD330A"/>
    <w:rsid w:val="00DE7B60"/>
    <w:rsid w:val="00DF44DF"/>
    <w:rsid w:val="00DF6439"/>
    <w:rsid w:val="00E023F6"/>
    <w:rsid w:val="00E03DBB"/>
    <w:rsid w:val="00E15602"/>
    <w:rsid w:val="00E576CA"/>
    <w:rsid w:val="00E6194D"/>
    <w:rsid w:val="00E973F7"/>
    <w:rsid w:val="00EB10C5"/>
    <w:rsid w:val="00EE1EB9"/>
    <w:rsid w:val="00EE4FCE"/>
    <w:rsid w:val="00F0004F"/>
    <w:rsid w:val="00F04913"/>
    <w:rsid w:val="00F122D1"/>
    <w:rsid w:val="00F25A4E"/>
    <w:rsid w:val="00F50AB4"/>
    <w:rsid w:val="00F54190"/>
    <w:rsid w:val="00F72013"/>
    <w:rsid w:val="00F75715"/>
    <w:rsid w:val="00F9645B"/>
    <w:rsid w:val="00FB26F9"/>
    <w:rsid w:val="00FB36F9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C3B3158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F72013"/>
    <w:pPr>
      <w:keepNext/>
      <w:keepLines/>
      <w:numPr>
        <w:numId w:val="7"/>
      </w:numPr>
      <w:suppressLineNumbers/>
      <w:ind w:left="567" w:hanging="567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2013"/>
    <w:pPr>
      <w:widowControl/>
      <w:suppressAutoHyphens w:val="0"/>
      <w:spacing w:line="240" w:lineRule="auto"/>
      <w:ind w:left="454" w:hanging="454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0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013"/>
    <w:rPr>
      <w:rFonts w:cs="Times New Roman"/>
      <w:vertAlign w:val="superscript"/>
    </w:rPr>
  </w:style>
  <w:style w:type="paragraph" w:styleId="ListParagraph">
    <w:name w:val="List Paragraph"/>
    <w:aliases w:val="List (bullet)"/>
    <w:basedOn w:val="Normal"/>
    <w:uiPriority w:val="34"/>
    <w:qFormat/>
    <w:rsid w:val="00F72013"/>
    <w:pPr>
      <w:widowControl/>
      <w:suppressAutoHyphens w:val="0"/>
      <w:spacing w:line="240" w:lineRule="auto"/>
      <w:ind w:left="720" w:hanging="454"/>
      <w:contextualSpacing/>
    </w:pPr>
    <w:rPr>
      <w:rFonts w:eastAsia="Times New Roman"/>
      <w:kern w:val="0"/>
      <w:szCs w:val="20"/>
      <w:lang w:eastAsia="en-US" w:bidi="ar-SA"/>
    </w:rPr>
  </w:style>
  <w:style w:type="table" w:customStyle="1" w:styleId="TableGrid1">
    <w:name w:val="Table Grid1"/>
    <w:basedOn w:val="TableNormal"/>
    <w:next w:val="TableGrid"/>
    <w:uiPriority w:val="99"/>
    <w:rsid w:val="00F72013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F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79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9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4C79"/>
    <w:rPr>
      <w:rFonts w:eastAsia="SimSun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C4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79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79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79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T/TXT/PDF/?uri=CELEX:32021R1060&amp;from=EN" TargetMode="External"/><Relationship Id="rId18" Type="http://schemas.openxmlformats.org/officeDocument/2006/relationships/hyperlink" Target="https://www.siseministeerium.ee/seirekomisj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iigiteataja.ee/akt/116112010013?leiaKehti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iseministeerium.ee/tegevusvaldkonnad/rahvusvaheline-koostoo/euroopa-liidu-toetuse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T/TXT/PDF/?uri=CELEX:32021R1148&amp;from=EN" TargetMode="External"/><Relationship Id="rId20" Type="http://schemas.openxmlformats.org/officeDocument/2006/relationships/hyperlink" Target="https://eur-lex.europa.eu/legal-content/ET/TXT/PDF/?uri=CELEX:32011L0092&amp;from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ET/TXT/PDF/?uri=CELEX:32021R1149&amp;from=EN" TargetMode="External"/><Relationship Id="rId23" Type="http://schemas.openxmlformats.org/officeDocument/2006/relationships/hyperlink" Target="https://eur-lex.europa.eu/legal-content/ET/TXT/PDF/?uri=CELEX:32021R1060&amp;from=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ET/TXT/HTML/?uri=CELEX:32020R0852&amp;from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T/TXT/PDF/?uri=CELEX:32021R1147&amp;from=EN" TargetMode="External"/><Relationship Id="rId22" Type="http://schemas.openxmlformats.org/officeDocument/2006/relationships/hyperlink" Target="https://eur-lex.europa.eu/legal-content/ET/TXT/PDF/?uri=CELEX:52021XC0916(03)&amp;from=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f55ceed4-16f0-4371-8349-4527d2ff225e"/>
    <ds:schemaRef ds:uri="d0759c17-f71d-426f-a000-2a7c696f56e3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42B7A-FF6C-4E8C-A8C4-174CF3B4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1</TotalTime>
  <Pages>4</Pages>
  <Words>1192</Words>
  <Characters>6919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Leomar</dc:creator>
  <cp:lastModifiedBy>Ülle Leht</cp:lastModifiedBy>
  <cp:revision>2</cp:revision>
  <cp:lastPrinted>2014-04-02T13:57:00Z</cp:lastPrinted>
  <dcterms:created xsi:type="dcterms:W3CDTF">2023-02-20T15:46:00Z</dcterms:created>
  <dcterms:modified xsi:type="dcterms:W3CDTF">2023-02-20T15:46:00Z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